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52" w:name="X45a75996d92fb40a5ba5b9b5379a8bba738c94a"/>
    <w:p>
      <w:pPr>
        <w:pStyle w:val="Heading1"/>
      </w:pPr>
      <w:r>
        <w:rPr>
          <w:rStyle w:val="SectionNumber"/>
        </w:rPr>
        <w:t xml:space="preserve">1</w:t>
      </w:r>
      <w:r>
        <w:tab/>
      </w:r>
      <w:r>
        <w:t xml:space="preserve">The real-world energy use and electric driving share of plug-in hybrid vehicles in Europe☆</w:t>
      </w:r>
    </w:p>
    <w:p>
      <w:pPr>
        <w:pStyle w:val="FirstParagraph"/>
      </w:pPr>
      <w:r>
        <w:t xml:space="preserve">Markos A. Ktistakis a,*</w:t>
      </w:r>
    </w:p>
    <w:p>
      <w:pPr>
        <w:pStyle w:val="BodyText"/>
      </w:pPr>
      <w:r>
        <w:t xml:space="preserve">a European Commission, Joint Research Centre, Ispra, Varese, Italy, 21027</w:t>
      </w:r>
      <w:r>
        <w:br/>
      </w:r>
      <w:r>
        <w:t xml:space="preserve">ORCiD: 0000-0001-5648-2764</w:t>
      </w:r>
    </w:p>
    <w:p>
      <w:pPr>
        <w:pStyle w:val="BodyText"/>
      </w:pPr>
      <w:r>
        <w:t xml:space="preserve">*Corresponding author.</w:t>
      </w:r>
    </w:p>
    <w:p>
      <w:pPr>
        <w:pStyle w:val="BodyText"/>
      </w:pPr>
      <w:r>
        <w:t xml:space="preserve">☆The views expressed in this paper are purely those of the authors and shall not be interpreted as an official position of the European Commission under any circumstance.</w:t>
      </w:r>
    </w:p>
    <w:p>
      <w:r>
        <w:pict>
          <v:rect style="width:0;height:1.5pt" o:hralign="center" o:hrstd="t" o:hr="t"/>
        </w:pict>
      </w:r>
    </w:p>
    <w:p>
      <w:pPr>
        <w:pStyle w:val="FirstParagraph"/>
      </w:pPr>
      <w:r>
        <w:rPr>
          <w:b/>
          <w:bCs/>
        </w:rPr>
        <w:t xml:space="preserve">Keywords:</w:t>
      </w:r>
      <w:r>
        <w:t xml:space="preserve"> </w:t>
      </w:r>
      <w:r>
        <w:t xml:space="preserve">Plug-in hybrid vehicles, Energy consumption, Electric driving share, OBFCM, Real-world performance, Variable importance, Explainable machine learning, SHAP</w:t>
      </w:r>
    </w:p>
    <w:bookmarkStart w:id="9" w:name="abstract"/>
    <w:p>
      <w:pPr>
        <w:pStyle w:val="Heading2"/>
      </w:pPr>
      <w:r>
        <w:rPr>
          <w:rStyle w:val="SectionNumber"/>
        </w:rPr>
        <w:t xml:space="preserve">1.1</w:t>
      </w:r>
      <w:r>
        <w:tab/>
      </w:r>
      <w:r>
        <w:t xml:space="preserve">Abstract</w:t>
      </w:r>
    </w:p>
    <w:p>
      <w:pPr>
        <w:pStyle w:val="FirstParagraph"/>
      </w:pPr>
      <w:r>
        <w:t xml:space="preserve">Plug-in hybrid electric vehicles (PHEVs) represent a significant share of the European vehicle market, with real-world performance analysis increasingly important for policy and consumer information. This study quantifies the real-world use-phase energy demand and electric driving share (EDS) of EU PHEVs at fleet scale using On-Board Fuel Consumption Monitoring (OBFCM) data from 2021–2023, covering 900,525 unflagged PHEV records across 29 countries. We use EDSen_mech (mechanical energy-based EDS) as the primary operational electrification metric and report final energies (EnTot_final100km, EnICE_final100km, EnEl_final100km) for use-phase energy analysis. Our results show substantial heterogeneity in both EDS and energy consumption, with regional and vehicle-level factors explaining significant variation. Explainable machine learning (boosted trees with SHAP) reveals key drivers of EDS and energy outcomes, with overall models achieving 21.1% R² for EDS prediction and 82.3% R² for energy prediction. Segmented models for homogeneous vehicle groups (e.g., heavy vehicles ≥2000 kg) achieve modestly higher R² (23.1-23.6%), demonstrating that more homogeneous groups can achieve better predictions, though the improvement remains modest. The analysis framework is designed to extend findings to EU-fleet representativeness via EEA registrations and to incorporate mechanistic evidence from targeted sub-fleet and campaign analyses when data become available. These findings translate into robust, policy-relevant metrics without centring utility factor/gap politics, focusing instead on understanding what drives real-world PHEV performance.</w:t>
      </w:r>
    </w:p>
    <w:p>
      <w:pPr>
        <w:pStyle w:val="BodyText"/>
      </w:pPr>
      <w:r>
        <w:rPr>
          <w:b/>
          <w:bCs/>
        </w:rPr>
        <w:t xml:space="preserve">Keywords:</w:t>
      </w:r>
      <w:r>
        <w:t xml:space="preserve"> </w:t>
      </w:r>
      <w:r>
        <w:t xml:space="preserve">Plug-in hybrid vehicles, Energy consumption, Electric driving share, OBFCM, Real-world performance, Variable importance, Explainable machine learning, SHAP</w:t>
      </w:r>
    </w:p>
    <w:p>
      <w:r>
        <w:pict>
          <v:rect style="width:0;height:1.5pt" o:hralign="center" o:hrstd="t" o:hr="t"/>
        </w:pict>
      </w:r>
    </w:p>
    <w:bookmarkEnd w:id="9"/>
    <w:bookmarkStart w:id="16" w:name="introduction"/>
    <w:p>
      <w:pPr>
        <w:pStyle w:val="Heading2"/>
      </w:pPr>
      <w:r>
        <w:rPr>
          <w:rStyle w:val="SectionNumber"/>
        </w:rPr>
        <w:t xml:space="preserve">1.2</w:t>
      </w:r>
      <w:r>
        <w:tab/>
      </w:r>
      <w:r>
        <w:t xml:space="preserve">Introduction</w:t>
      </w:r>
    </w:p>
    <w:bookmarkStart w:id="10" w:name="global-problem-and-transport-role"/>
    <w:p>
      <w:pPr>
        <w:pStyle w:val="Heading3"/>
      </w:pPr>
      <w:r>
        <w:rPr>
          <w:rStyle w:val="SectionNumber"/>
        </w:rPr>
        <w:t xml:space="preserve">1.2.1</w:t>
      </w:r>
      <w:r>
        <w:tab/>
      </w:r>
      <w:r>
        <w:t xml:space="preserve">Global Problem and Transport Role</w:t>
      </w:r>
    </w:p>
    <w:p>
      <w:pPr>
        <w:pStyle w:val="FirstParagraph"/>
      </w:pPr>
      <w:r>
        <w:t xml:space="preserve">Transportation accounts for approximately 23% of global CO₂ emissions, with road transport representing the dominant share (IEA, 2023). The decarbonization of road transport has become a critical priority for achieving climate targets. The European Union has set ambitious targets: a 55% reduction in CO₂ emissions by 2030 and net-zero emissions by 2050, with a complete phase-out of internal combustion engine vehicles by 2035 (European Commission, 2021). Globally, similar targets are being pursued, reflecting the urgent need to address transport emissions. Electrification has emerged as a key pathway for decarbonizing road transport, with plug-in hybrid electric vehicles (PHEVs) playing an important transitional role.</w:t>
      </w:r>
    </w:p>
    <w:bookmarkEnd w:id="10"/>
    <w:bookmarkStart w:id="11" w:name="phevs-as-transitional-technology"/>
    <w:p>
      <w:pPr>
        <w:pStyle w:val="Heading3"/>
      </w:pPr>
      <w:r>
        <w:rPr>
          <w:rStyle w:val="SectionNumber"/>
        </w:rPr>
        <w:t xml:space="preserve">1.2.2</w:t>
      </w:r>
      <w:r>
        <w:tab/>
      </w:r>
      <w:r>
        <w:t xml:space="preserve">PHEVs as Transitional Technology</w:t>
      </w:r>
    </w:p>
    <w:p>
      <w:pPr>
        <w:pStyle w:val="FirstParagraph"/>
      </w:pPr>
      <w:r>
        <w:t xml:space="preserve">Plug-in hybrid electric vehicles (PHEVs) have emerged as a key transitional technology, offering the flexibility of conventional vehicles while providing the potential for zero-emission electric driving. PHEVs exist due to several factors: infrastructure constraints that limit full battery electric vehicle adoption, user flexibility needs for long-distance travel, range requirements that exceed current battery electric vehicle capabilities, and cost considerations that make PHEVs more accessible than full electric vehicles (Bradley &amp; Quinn, 2010; Gonder et al., 2011).</w:t>
      </w:r>
    </w:p>
    <w:p>
      <w:pPr>
        <w:pStyle w:val="BodyText"/>
      </w:pPr>
      <w:r>
        <w:t xml:space="preserve">Global penetration has grown dramatically, from fewer than 10,000 vehicles sold in 2011 to 2.9 million globally in 2022, with 890,000 sold in Europe alone (representing 9.4% of new vehicle registrations) (IEA, 2023). PHEVs remain policy-relevant for the 2020s as they bridge the gap between conventional vehicles and full electrification, particularly in regions with developing charging infrastructure. However, their real-world environmental performance depends critically on how frequently they are charged and driven electrically, making understanding of operational electrification patterns essential.</w:t>
      </w:r>
    </w:p>
    <w:bookmarkEnd w:id="11"/>
    <w:bookmarkStart w:id="12" w:name="why-real-world-performance-varies"/>
    <w:p>
      <w:pPr>
        <w:pStyle w:val="Heading3"/>
      </w:pPr>
      <w:r>
        <w:rPr>
          <w:rStyle w:val="SectionNumber"/>
        </w:rPr>
        <w:t xml:space="preserve">1.2.3</w:t>
      </w:r>
      <w:r>
        <w:tab/>
      </w:r>
      <w:r>
        <w:t xml:space="preserve">Why Real-World Performance Varies</w:t>
      </w:r>
    </w:p>
    <w:p>
      <w:pPr>
        <w:pStyle w:val="FirstParagraph"/>
      </w:pPr>
      <w:r>
        <w:t xml:space="preserve">A fundamental point: PHEVs are not</w:t>
      </w:r>
      <w:r>
        <w:t xml:space="preserve"> </w:t>
      </w:r>
      <w:r>
        <w:t xml:space="preserve">“one performance”</w:t>
      </w:r>
      <w:r>
        <w:t xml:space="preserve">—use-phase energy consumption and emissions depend critically on operational electrification, which varies with charging frequency, trip structure, and environmental conditions (Neubauer &amp; Wood, 2014; De Cauwer et al., 2016). The proportion of distance driven electrically, quantified as Electric Driving Share (EDS), varies dramatically across vehicles, drivers, and contexts. Early studies using small samples or self-reported data identified EDS values typically ranging from 20% to 60% depending on the study and sample (ICCT, 2022; Mandev et al., 2024; Bradley &amp; Quinn, 2010; Gonder et al., 2011; Neubauer &amp; Wood, 2014). Campaign-level studies have provided detailed insights into driver behavior, revealing that charging habits vary dramatically among drivers (Ktistakis et al., 2022; De Cauwer et al., 2016; Fetene et al., 2017; Franke et al., 2012).</w:t>
      </w:r>
    </w:p>
    <w:p>
      <w:pPr>
        <w:pStyle w:val="BodyText"/>
      </w:pPr>
      <w:r>
        <w:t xml:space="preserve">This variability motivates the need for EDS-like indicators and energy split analysis. Understanding what drives this variability is essential for assessing real-world environmental performance, informing policy, and guiding vehicle design and user behavior.</w:t>
      </w:r>
    </w:p>
    <w:bookmarkEnd w:id="12"/>
    <w:bookmarkStart w:id="13" w:name="why-energy-metrics-matter"/>
    <w:p>
      <w:pPr>
        <w:pStyle w:val="Heading3"/>
      </w:pPr>
      <w:r>
        <w:rPr>
          <w:rStyle w:val="SectionNumber"/>
        </w:rPr>
        <w:t xml:space="preserve">1.2.4</w:t>
      </w:r>
      <w:r>
        <w:tab/>
      </w:r>
      <w:r>
        <w:t xml:space="preserve">Why Energy Metrics Matter</w:t>
      </w:r>
    </w:p>
    <w:p>
      <w:pPr>
        <w:pStyle w:val="FirstParagraph"/>
      </w:pPr>
      <w:r>
        <w:t xml:space="preserve">Beyond fuel consumption and CO₂ emissions, energy analysis provides a more fundamental and comprehensive measure of vehicle efficiency. Energy split is essential for use-phase footprint assessment and for integration in life-cycle assessment (LCA) and operational carbon discussions (without making a full LCA claim in this work). Energy is also a more stable comparison unit across fuels, enabling direct comparison between internal combustion engine (ICE) energy and electric energy consumption (Tansini et al., 2022).</w:t>
      </w:r>
    </w:p>
    <w:p>
      <w:pPr>
        <w:pStyle w:val="BodyText"/>
      </w:pPr>
      <w:r>
        <w:t xml:space="preserve">By analyzing total energy consumption (ICE + electric) rather than fuel consumption or CO₂ emissions alone, we provide a measure of vehicle efficiency that enables comparison across powertrain technologies (conventional, hybrid, plug-in hybrid, battery electric). This approach reveals how PHEVs balance ICE and electric energy use in real-world operation, providing insights into the fundamental physics of vehicle operation and the potential for energy savings through increased electric driving.</w:t>
      </w:r>
    </w:p>
    <w:bookmarkEnd w:id="13"/>
    <w:bookmarkStart w:id="14" w:name="gap-addressed-and-contributions"/>
    <w:p>
      <w:pPr>
        <w:pStyle w:val="Heading3"/>
      </w:pPr>
      <w:r>
        <w:rPr>
          <w:rStyle w:val="SectionNumber"/>
        </w:rPr>
        <w:t xml:space="preserve">1.2.5</w:t>
      </w:r>
      <w:r>
        <w:tab/>
      </w:r>
      <w:r>
        <w:t xml:space="preserve">Gap Addressed and Contributions</w:t>
      </w:r>
    </w:p>
    <w:p>
      <w:pPr>
        <w:pStyle w:val="FirstParagraph"/>
      </w:pPr>
      <w:r>
        <w:t xml:space="preserve">While previous research has examined PHEV real-world performance using small samples or campaign data, large-scale fleet-representative analyses have been limited. The availability of On-Board Fuel Consumption Monitoring (OBFCM) data, mandated by EU Regulation 2018/1832, has enabled unprecedented fleet-scale analysis. Recent work by Plötz and Gnann (2025) examined 1.4 million PHEVs from OBFCM 2021-2023, finding that real-world fuel consumption averages 6.0-6.2 L/100 km compared to 1.0-1.7 L/100 km in type-approval testing. Suarez et al. (2025) analyzed 995,511 PHEVs, finding that EDS accounts for 51% of explained variance in real-world CO₂ emissions.</w:t>
      </w:r>
    </w:p>
    <w:p>
      <w:pPr>
        <w:pStyle w:val="BodyText"/>
      </w:pPr>
      <w:r>
        <w:t xml:space="preserve">This paper contributes EU-scale, fleet-representative evidence on:</w:t>
      </w:r>
    </w:p>
    <w:p>
      <w:pPr>
        <w:numPr>
          <w:ilvl w:val="0"/>
          <w:numId w:val="1001"/>
        </w:numPr>
      </w:pPr>
      <w:r>
        <w:rPr>
          <w:b/>
          <w:bCs/>
        </w:rPr>
        <w:t xml:space="preserve">Distributions of energy demand and EDS</w:t>
      </w:r>
      <w:r>
        <w:t xml:space="preserve"> </w:t>
      </w:r>
      <w:r>
        <w:t xml:space="preserve">- Comprehensive analysis of real-world energy consumption and electric driving share across 900,525 unflagged PHEV records from 29 European countries, representing the largest fleet-scale analysis of real-world PHEV performance to date.</w:t>
      </w:r>
    </w:p>
    <w:p>
      <w:pPr>
        <w:numPr>
          <w:ilvl w:val="0"/>
          <w:numId w:val="1001"/>
        </w:numPr>
      </w:pPr>
      <w:r>
        <w:rPr>
          <w:b/>
          <w:bCs/>
        </w:rPr>
        <w:t xml:space="preserve">Heterogeneity and contextual effects</w:t>
      </w:r>
      <w:r>
        <w:t xml:space="preserve"> </w:t>
      </w:r>
      <w:r>
        <w:t xml:space="preserve">- Regional/country patterns, vehicle-level factors, and usage patterns that explain variation in EDS and energy consumption.</w:t>
      </w:r>
    </w:p>
    <w:p>
      <w:pPr>
        <w:numPr>
          <w:ilvl w:val="0"/>
          <w:numId w:val="1001"/>
        </w:numPr>
      </w:pPr>
      <w:r>
        <w:rPr>
          <w:b/>
          <w:bCs/>
        </w:rPr>
        <w:t xml:space="preserve">Feature importance explaining EDS and energy</w:t>
      </w:r>
      <w:r>
        <w:t xml:space="preserve"> </w:t>
      </w:r>
      <w:r>
        <w:t xml:space="preserve">- Explainable machine learning (boosted trees with SHAP) identifies key drivers of both EDS and total energy consumption, providing insights into what determines real-world PHEV performance. Segmented model analysis demonstrates that homogeneous vehicle groups (e.g., heavy vehicles ≥2000 kg) achieve modestly higher R² (23.1-23.6%) compared to the overall model (21.1%), representing 9.5-11.8% relative improvements.</w:t>
      </w:r>
    </w:p>
    <w:p>
      <w:pPr>
        <w:numPr>
          <w:ilvl w:val="0"/>
          <w:numId w:val="1001"/>
        </w:numPr>
      </w:pPr>
      <w:r>
        <w:rPr>
          <w:b/>
          <w:bCs/>
        </w:rPr>
        <w:t xml:space="preserve">Framework for micro-evidence and EU-fleet extrapolation</w:t>
      </w:r>
      <w:r>
        <w:t xml:space="preserve"> </w:t>
      </w:r>
      <w:r>
        <w:t xml:space="preserve">- The analysis establishes a framework for incorporating mechanistic evidence from targeted subfleets and campaign data, and for scaling findings to EU-fleet representativeness using EEA registration data (sections 4.3-4.4 provide the methodological framework, with results to be populated when external data become available).</w:t>
      </w:r>
    </w:p>
    <w:p>
      <w:pPr>
        <w:pStyle w:val="FirstParagraph"/>
      </w:pPr>
      <w:r>
        <w:t xml:space="preserve">This paper focuses on understanding real-world performance and what drives it, rather than centring the analysis on regulatory gaps or utility factor debates. While regulatory gaps between type-approval and real-world performance can provide motivation for this research, we avoid making the entire narrative about</w:t>
      </w:r>
      <w:r>
        <w:t xml:space="preserve"> </w:t>
      </w:r>
      <w:r>
        <w:t xml:space="preserve">“the gap/utility factor scandal”</w:t>
      </w:r>
      <w:r>
        <w:t xml:space="preserve"> </w:t>
      </w:r>
      <w:r>
        <w:t xml:space="preserve">because: (1) our primary contribution is understanding the drivers of real-world performance, not documenting gaps per se; (2) focusing on performance drivers provides actionable insights for policy, vehicle design, and user behavior; and (3) this approach provides robust, policy-relevant metrics without centring utility factor/gap politics. A separate analysis focusing on utility factor gaps and CO₂ emissions will complement this energy-focused study (see Section 7).</w:t>
      </w:r>
    </w:p>
    <w:bookmarkEnd w:id="14"/>
    <w:bookmarkStart w:id="15" w:name="data-source-and-methodology-overview"/>
    <w:p>
      <w:pPr>
        <w:pStyle w:val="Heading3"/>
      </w:pPr>
      <w:r>
        <w:rPr>
          <w:rStyle w:val="SectionNumber"/>
        </w:rPr>
        <w:t xml:space="preserve">1.2.6</w:t>
      </w:r>
      <w:r>
        <w:tab/>
      </w:r>
      <w:r>
        <w:t xml:space="preserve">Data Source and Methodology Overview</w:t>
      </w:r>
    </w:p>
    <w:p>
      <w:pPr>
        <w:pStyle w:val="FirstParagraph"/>
      </w:pPr>
      <w:r>
        <w:rPr>
          <w:b/>
          <w:bCs/>
        </w:rPr>
        <w:t xml:space="preserve">OBFCM Context:</w:t>
      </w:r>
      <w:r>
        <w:t xml:space="preserve"> </w:t>
      </w:r>
      <w:r>
        <w:t xml:space="preserve">The On-Board Fuel Consumption Monitoring (OBFCM) system, mandated by EU Regulation 2018/1832, collects real-world fuel and energy consumption data from light-duty vehicles. OBFCM devices are installed in all new light-duty vehicles registered in the EU from 2021 onward, collecting telemetry data on fuel consumption, energy consumption, and driving distance in different operational modes (charge-depleting with engine off, charge-depleting with engine on, charge-sustaining, charge-increasing). OBFCM provides unprecedented fleet-scale data with standardized EU governance, direct measurement capabilities, and real-world conditions, though it requires careful quality flagging to address measurement errors and missing data patterns.</w:t>
      </w:r>
    </w:p>
    <w:p>
      <w:pPr>
        <w:pStyle w:val="BodyText"/>
      </w:pPr>
      <w:r>
        <w:rPr>
          <w:b/>
          <w:bCs/>
        </w:rPr>
        <w:t xml:space="preserve">Energy/EDS Metrics:</w:t>
      </w:r>
      <w:r>
        <w:t xml:space="preserve"> </w:t>
      </w:r>
      <w:r>
        <w:t xml:space="preserve">We use EDSen_mech (mechanical energy-based EDS) as the primary operational electrification metric, calculated as the ratio of electric mechanical energy to total mechanical energy. This choice is justified because mechanical energy represents the actual energy reaching the wheels, providing a physically meaningful measure of operational electrification that accounts for powertrain efficiency differences between electric and ICE modes. Alternative EDS definitions exist (e.g., EDSpel based on distance, EDSd based on distance with engine off), but EDSen_mech is preferred because it captures the energy-based share of electric propulsion, which is more directly related to energy consumption and emissions outcomes than distance-based metrics (Ktistakis et al., 2025). For use-phase energy analysis, we report</w:t>
      </w:r>
      <w:r>
        <w:t xml:space="preserve"> </w:t>
      </w:r>
      <w:r>
        <w:rPr>
          <w:b/>
          <w:bCs/>
        </w:rPr>
        <w:t xml:space="preserve">final energies</w:t>
      </w:r>
      <w:r>
        <w:t xml:space="preserve"> </w:t>
      </w:r>
      <w:r>
        <w:t xml:space="preserve">(EnTot_final100km, EnICE_final100km, EnEl_final100km), which represent the energy supplied to the vehicle (accounting for charging losses for electric energy and ICE efficiency for fuel energy). Final energy is the energy that enters the vehicle system from external sources (electricity from the grid, fuel from the tank). We use final energy rather than mechanical energy for reporting because: (1) final energy represents the actual energy consumption from external sources, which is directly relevant for policy, infrastructure planning, and environmental impact assessment; (2) final energy enables direct comparison across powertrain technologies without requiring assumptions about powertrain efficiency; and (3) final energy is the standard metric used in energy policy and life-cycle assessment frameworks (Tansini et al., 2022). In contrast,</w:t>
      </w:r>
      <w:r>
        <w:t xml:space="preserve"> </w:t>
      </w:r>
      <w:r>
        <w:rPr>
          <w:b/>
          <w:bCs/>
        </w:rPr>
        <w:t xml:space="preserve">mechanical energy</w:t>
      </w:r>
      <w:r>
        <w:t xml:space="preserve"> </w:t>
      </w:r>
      <w:r>
        <w:t xml:space="preserve">represents the energy reaching the wheels after losses through the powertrain (charging losses, motor/generator efficiency, transmission losses). Mechanical energy is used only to define EDS and is not reported as a separate energy metric in the main results. This approach enables direct comparison across powertrain technologies and provides a more fundamental measure of vehicle efficiency than fuel consumption or CO₂ emissions alone.</w:t>
      </w:r>
    </w:p>
    <w:p>
      <w:pPr>
        <w:pStyle w:val="BodyText"/>
      </w:pPr>
      <w:r>
        <w:rPr>
          <w:b/>
          <w:bCs/>
        </w:rPr>
        <w:t xml:space="preserve">Explainable Machine Learning Approach:</w:t>
      </w:r>
      <w:r>
        <w:t xml:space="preserve"> </w:t>
      </w:r>
      <w:r>
        <w:t xml:space="preserve">We employ boosted trees (XGBoost) with SHAP (SHapley Additive exPlanations) for feature importance analysis. SHAP values provide a game-theoretic approach that accounts for interactions and non-linear relationships, making it well-suited for understanding complex vehicle performance patterns. This approach has been successfully applied to PHEV analysis (Suarez et al., 2025) and provides interpretable insights into what drives EDS and energy outcomes. Alternative approaches (GAMs, Random Forest) were tested for comparison but XGBoost with SHAP was selected for superior performance and interpretability (see Appendix B).</w:t>
      </w:r>
    </w:p>
    <w:p>
      <w:r>
        <w:pict>
          <v:rect style="width:0;height:1.5pt" o:hralign="center" o:hrstd="t" o:hr="t"/>
        </w:pict>
      </w:r>
    </w:p>
    <w:bookmarkEnd w:id="15"/>
    <w:bookmarkEnd w:id="16"/>
    <w:bookmarkStart w:id="26" w:name="materials-methods"/>
    <w:p>
      <w:pPr>
        <w:pStyle w:val="Heading2"/>
      </w:pPr>
      <w:r>
        <w:rPr>
          <w:rStyle w:val="SectionNumber"/>
        </w:rPr>
        <w:t xml:space="preserve">1.3</w:t>
      </w:r>
      <w:r>
        <w:tab/>
      </w:r>
      <w:r>
        <w:t xml:space="preserve">Materials &amp; Methods</w:t>
      </w:r>
    </w:p>
    <w:bookmarkStart w:id="20" w:name="materials-data"/>
    <w:p>
      <w:pPr>
        <w:pStyle w:val="Heading3"/>
      </w:pPr>
      <w:r>
        <w:rPr>
          <w:rStyle w:val="SectionNumber"/>
        </w:rPr>
        <w:t xml:space="preserve">1.3.1</w:t>
      </w:r>
      <w:r>
        <w:tab/>
      </w:r>
      <w:r>
        <w:t xml:space="preserve">Materials (Data)</w:t>
      </w:r>
    </w:p>
    <w:bookmarkStart w:id="17" w:name="obfcm-phevs-2021-2023"/>
    <w:p>
      <w:pPr>
        <w:pStyle w:val="Heading4"/>
      </w:pPr>
      <w:r>
        <w:rPr>
          <w:rStyle w:val="SectionNumber"/>
        </w:rPr>
        <w:t xml:space="preserve">1.3.1.1</w:t>
      </w:r>
      <w:r>
        <w:tab/>
      </w:r>
      <w:r>
        <w:t xml:space="preserve">OBFCM PHEVs 2021-2023</w:t>
      </w:r>
    </w:p>
    <w:p>
      <w:pPr>
        <w:pStyle w:val="FirstParagraph"/>
      </w:pPr>
      <w:r>
        <w:t xml:space="preserve">OBFCM monitoring data from the 2021-2023 reporting period, aggregated at reporting-period (vehicle-year-ish) level. The dataset includes:</w:t>
      </w:r>
    </w:p>
    <w:p>
      <w:pPr>
        <w:pStyle w:val="Compact"/>
        <w:numPr>
          <w:ilvl w:val="0"/>
          <w:numId w:val="1002"/>
        </w:numPr>
      </w:pPr>
      <w:r>
        <w:rPr>
          <w:b/>
          <w:bCs/>
        </w:rPr>
        <w:t xml:space="preserve">PHEV subset:</w:t>
      </w:r>
      <w:r>
        <w:t xml:space="preserve"> </w:t>
      </w:r>
      <w:r>
        <w:t xml:space="preserve">Approximately 900,000 unflagged vehicles (from ~995,000 total after flagging)</w:t>
      </w:r>
    </w:p>
    <w:p>
      <w:pPr>
        <w:pStyle w:val="Compact"/>
        <w:numPr>
          <w:ilvl w:val="0"/>
          <w:numId w:val="1002"/>
        </w:numPr>
      </w:pPr>
      <w:r>
        <w:rPr>
          <w:b/>
          <w:bCs/>
        </w:rPr>
        <w:t xml:space="preserve">Geographic coverage:</w:t>
      </w:r>
      <w:r>
        <w:t xml:space="preserve"> </w:t>
      </w:r>
      <w:r>
        <w:t xml:space="preserve">29 European countries</w:t>
      </w:r>
    </w:p>
    <w:p>
      <w:pPr>
        <w:pStyle w:val="Compact"/>
        <w:numPr>
          <w:ilvl w:val="0"/>
          <w:numId w:val="1002"/>
        </w:numPr>
      </w:pPr>
      <w:r>
        <w:rPr>
          <w:b/>
          <w:bCs/>
        </w:rPr>
        <w:t xml:space="preserve">Years:</w:t>
      </w:r>
      <w:r>
        <w:t xml:space="preserve"> </w:t>
      </w:r>
      <w:r>
        <w:t xml:space="preserve">2021-2023</w:t>
      </w:r>
    </w:p>
    <w:p>
      <w:pPr>
        <w:pStyle w:val="Compact"/>
        <w:numPr>
          <w:ilvl w:val="0"/>
          <w:numId w:val="1002"/>
        </w:numPr>
      </w:pPr>
      <w:r>
        <w:rPr>
          <w:b/>
          <w:bCs/>
        </w:rPr>
        <w:t xml:space="preserve">Data cleaning:</w:t>
      </w:r>
      <w:r>
        <w:t xml:space="preserve"> </w:t>
      </w:r>
      <w:r>
        <w:t xml:space="preserve">Applied 8 quality flags to identify data quality issues; main analysis focuses on unflagged records</w:t>
      </w:r>
    </w:p>
    <w:p>
      <w:pPr>
        <w:pStyle w:val="FirstParagraph"/>
      </w:pPr>
      <w:r>
        <w:rPr>
          <w:b/>
          <w:bCs/>
        </w:rPr>
        <w:t xml:space="preserve">Key computed quantities (brief, defensible):</w:t>
      </w:r>
      <w:r>
        <w:t xml:space="preserve"> </w:t>
      </w:r>
      <w:r>
        <w:t xml:space="preserve">- Final energy demand per 100 km: EnTot_final100km, EnEl_final100km, EnICE_final100km. Final energy represents the energy supplied to the vehicle from external sources (electricity from the grid, fuel from the tank), accounting for charging losses for electric energy and ICE efficiency for fuel energy.</w:t>
      </w:r>
      <w:r>
        <w:t xml:space="preserve"> </w:t>
      </w:r>
      <w:r>
        <w:t xml:space="preserve">- EDS definition based on mechanical energy share (EDSen_mech): calculated as the ratio of electric mechanical energy to total mechanical energy. Mechanical energy represents the energy reaching the wheels after losses through the powertrain. EDSpel/EDSd are mentioned only as sensitivity/context.</w:t>
      </w:r>
      <w:r>
        <w:t xml:space="preserve"> </w:t>
      </w:r>
      <w:r>
        <w:t xml:space="preserve">- Conditional energies: EnICE_conditional and EnEl_conditional represent energy consumption per 100 km in specific operational modes. EnICE_conditional = (EnICE_final × 100) / distance_ICE_mode, where distance_ICE_mode is the distance traveled in charge-sustaining or charge-increasing modes. EnEl_conditional = (EnEl_final × 100) / distance_CD_Eng_Off, where distance_CD_Eng_Off is the distance traveled in charge-depleting mode with engine off. These metrics provide mode-specific energy intensities that complement overall energy metrics.</w:t>
      </w:r>
    </w:p>
    <w:bookmarkEnd w:id="17"/>
    <w:bookmarkStart w:id="18" w:name="eea-monitoring-2021-2024"/>
    <w:p>
      <w:pPr>
        <w:pStyle w:val="Heading4"/>
      </w:pPr>
      <w:r>
        <w:rPr>
          <w:rStyle w:val="SectionNumber"/>
        </w:rPr>
        <w:t xml:space="preserve">1.3.1.2</w:t>
      </w:r>
      <w:r>
        <w:tab/>
      </w:r>
      <w:r>
        <w:t xml:space="preserve">EEA Monitoring 2021-2024</w:t>
      </w:r>
    </w:p>
    <w:p>
      <w:pPr>
        <w:pStyle w:val="FirstParagraph"/>
      </w:pPr>
      <w:r>
        <w:t xml:space="preserve">EEA monitoring data (PHEV registrations + characteristics) for EU-fleet scaling. Used to extrapolate OBFCM findings to the broader European fleet.</w:t>
      </w:r>
    </w:p>
    <w:bookmarkEnd w:id="18"/>
    <w:bookmarkStart w:id="19" w:name="jrc-campaigns"/>
    <w:p>
      <w:pPr>
        <w:pStyle w:val="Heading4"/>
      </w:pPr>
      <w:r>
        <w:rPr>
          <w:rStyle w:val="SectionNumber"/>
        </w:rPr>
        <w:t xml:space="preserve">1.3.1.3</w:t>
      </w:r>
      <w:r>
        <w:tab/>
      </w:r>
      <w:r>
        <w:t xml:space="preserve">JRC Campaigns</w:t>
      </w:r>
    </w:p>
    <w:p>
      <w:pPr>
        <w:pStyle w:val="Compact"/>
        <w:numPr>
          <w:ilvl w:val="0"/>
          <w:numId w:val="1003"/>
        </w:numPr>
      </w:pPr>
      <w:r>
        <w:rPr>
          <w:b/>
          <w:bCs/>
        </w:rPr>
        <w:t xml:space="preserve">Golf (high-resolution trip-level, charging events)</w:t>
      </w:r>
      <w:r>
        <w:t xml:space="preserve"> </w:t>
      </w:r>
      <w:r>
        <w:t xml:space="preserve">- included now for mechanistic illustration</w:t>
      </w:r>
    </w:p>
    <w:p>
      <w:pPr>
        <w:pStyle w:val="Compact"/>
        <w:numPr>
          <w:ilvl w:val="0"/>
          <w:numId w:val="1003"/>
        </w:numPr>
      </w:pPr>
      <w:r>
        <w:rPr>
          <w:b/>
          <w:bCs/>
        </w:rPr>
        <w:t xml:space="preserve">Prius</w:t>
      </w:r>
      <w:r>
        <w:t xml:space="preserve"> </w:t>
      </w:r>
      <w:r>
        <w:t xml:space="preserve">- planned later (proxy energy issue acknowledged)</w:t>
      </w:r>
    </w:p>
    <w:p>
      <w:pPr>
        <w:pStyle w:val="Compact"/>
        <w:numPr>
          <w:ilvl w:val="0"/>
          <w:numId w:val="1003"/>
        </w:numPr>
      </w:pPr>
      <w:r>
        <w:rPr>
          <w:b/>
          <w:bCs/>
        </w:rPr>
        <w:t xml:space="preserve">JRCmatics</w:t>
      </w:r>
      <w:r>
        <w:t xml:space="preserve"> </w:t>
      </w:r>
      <w:r>
        <w:t xml:space="preserve">- planned extension / supporting dataset</w:t>
      </w:r>
    </w:p>
    <w:bookmarkEnd w:id="19"/>
    <w:bookmarkEnd w:id="20"/>
    <w:bookmarkStart w:id="25" w:name="methods-overview"/>
    <w:p>
      <w:pPr>
        <w:pStyle w:val="Heading3"/>
      </w:pPr>
      <w:r>
        <w:rPr>
          <w:rStyle w:val="SectionNumber"/>
        </w:rPr>
        <w:t xml:space="preserve">1.3.2</w:t>
      </w:r>
      <w:r>
        <w:tab/>
      </w:r>
      <w:r>
        <w:t xml:space="preserve">Methods Overview</w:t>
      </w:r>
    </w:p>
    <w:bookmarkStart w:id="21" w:name="descriptive-fleet-analysis"/>
    <w:p>
      <w:pPr>
        <w:pStyle w:val="Heading4"/>
      </w:pPr>
      <w:r>
        <w:rPr>
          <w:rStyle w:val="SectionNumber"/>
        </w:rPr>
        <w:t xml:space="preserve">1.3.2.1</w:t>
      </w:r>
      <w:r>
        <w:tab/>
      </w:r>
      <w:r>
        <w:t xml:space="preserve">Descriptive Fleet Analysis</w:t>
      </w:r>
    </w:p>
    <w:p>
      <w:pPr>
        <w:pStyle w:val="FirstParagraph"/>
      </w:pPr>
      <w:r>
        <w:t xml:space="preserve">We begin with descriptive analysis to characterize the distributions and heterogeneity of EDS and energy consumption across the OBFCM fleet. This includes:</w:t>
      </w:r>
    </w:p>
    <w:p>
      <w:pPr>
        <w:numPr>
          <w:ilvl w:val="0"/>
          <w:numId w:val="1004"/>
        </w:numPr>
      </w:pPr>
      <w:r>
        <w:rPr>
          <w:b/>
          <w:bCs/>
        </w:rPr>
        <w:t xml:space="preserve">Headline EU distributions:</w:t>
      </w:r>
      <w:r>
        <w:t xml:space="preserve"> </w:t>
      </w:r>
      <w:r>
        <w:t xml:space="preserve">Summary statistics (median, IQR, percentiles) for EDSen_mech and final energies (EnTot_final100km, EnICE_final100km, EnEl_final100km) across the full dataset.</w:t>
      </w:r>
    </w:p>
    <w:p>
      <w:pPr>
        <w:numPr>
          <w:ilvl w:val="0"/>
          <w:numId w:val="1004"/>
        </w:numPr>
      </w:pPr>
      <w:r>
        <w:rPr>
          <w:b/>
          <w:bCs/>
        </w:rPr>
        <w:t xml:space="preserve">Energy split vs EDS relationship:</w:t>
      </w:r>
      <w:r>
        <w:t xml:space="preserve"> </w:t>
      </w:r>
      <w:r>
        <w:t xml:space="preserve">The flagship figure (Figure 3) showing how energy mix evolves across EDS values, combining a stacked area plot with marginal density to reveal both the relationship and where the fleet actually operates.</w:t>
      </w:r>
    </w:p>
    <w:p>
      <w:pPr>
        <w:numPr>
          <w:ilvl w:val="0"/>
          <w:numId w:val="1004"/>
        </w:numPr>
      </w:pPr>
      <w:r>
        <w:rPr>
          <w:b/>
          <w:bCs/>
        </w:rPr>
        <w:t xml:space="preserve">Regional/country heterogeneity:</w:t>
      </w:r>
      <w:r>
        <w:t xml:space="preserve"> </w:t>
      </w:r>
      <w:r>
        <w:t xml:space="preserve">Analysis of EDS and energy consumption patterns across regions and countries to identify geographic variation.</w:t>
      </w:r>
    </w:p>
    <w:p>
      <w:pPr>
        <w:numPr>
          <w:ilvl w:val="0"/>
          <w:numId w:val="1004"/>
        </w:numPr>
      </w:pPr>
      <w:r>
        <w:rPr>
          <w:b/>
          <w:bCs/>
        </w:rPr>
        <w:t xml:space="preserve">Descriptive EDS correlates:</w:t>
      </w:r>
      <w:r>
        <w:t xml:space="preserve"> </w:t>
      </w:r>
      <w:r>
        <w:t xml:space="preserve">Examination of relationships between EDS and key vehicle and usage characteristics, including:</w:t>
      </w:r>
    </w:p>
    <w:p>
      <w:pPr>
        <w:pStyle w:val="Compact"/>
        <w:numPr>
          <w:ilvl w:val="1"/>
          <w:numId w:val="1005"/>
        </w:numPr>
      </w:pPr>
      <w:r>
        <w:t xml:space="preserve">Electric range (AER) - shown in Figure 5</w:t>
      </w:r>
    </w:p>
    <w:p>
      <w:pPr>
        <w:pStyle w:val="Compact"/>
        <w:numPr>
          <w:ilvl w:val="1"/>
          <w:numId w:val="1005"/>
        </w:numPr>
      </w:pPr>
      <w:r>
        <w:t xml:space="preserve">Total mileage (Mileage_Tot) - shown in Figure 5</w:t>
      </w:r>
    </w:p>
    <w:p>
      <w:pPr>
        <w:pStyle w:val="Compact"/>
        <w:numPr>
          <w:ilvl w:val="1"/>
          <w:numId w:val="1005"/>
        </w:numPr>
      </w:pPr>
      <w:r>
        <w:t xml:space="preserve">Vehicle mass, segment, and other design characteristics</w:t>
      </w:r>
    </w:p>
    <w:p>
      <w:pPr>
        <w:pStyle w:val="Compact"/>
        <w:numPr>
          <w:ilvl w:val="1"/>
          <w:numId w:val="1005"/>
        </w:numPr>
      </w:pPr>
      <w:r>
        <w:t xml:space="preserve">Country-level infrastructure and policy proxies</w:t>
      </w:r>
    </w:p>
    <w:p>
      <w:pPr>
        <w:numPr>
          <w:ilvl w:val="0"/>
          <w:numId w:val="1004"/>
        </w:numPr>
      </w:pPr>
      <w:r>
        <w:rPr>
          <w:b/>
          <w:bCs/>
        </w:rPr>
        <w:t xml:space="preserve">PHEV vs HEV vs ICEV contextual comparison:</w:t>
      </w:r>
      <w:r>
        <w:t xml:space="preserve"> </w:t>
      </w:r>
      <w:r>
        <w:t xml:space="preserve">Comparison of total energy consumption across vehicle types to place PHEV performance in context.</w:t>
      </w:r>
    </w:p>
    <w:bookmarkEnd w:id="21"/>
    <w:bookmarkStart w:id="22" w:name="explainable-modelling-feature-importance"/>
    <w:p>
      <w:pPr>
        <w:pStyle w:val="Heading4"/>
      </w:pPr>
      <w:r>
        <w:rPr>
          <w:rStyle w:val="SectionNumber"/>
        </w:rPr>
        <w:t xml:space="preserve">1.3.2.2</w:t>
      </w:r>
      <w:r>
        <w:tab/>
      </w:r>
      <w:r>
        <w:t xml:space="preserve">Explainable Modelling (Feature Importance)</w:t>
      </w:r>
    </w:p>
    <w:p>
      <w:pPr>
        <w:pStyle w:val="FirstParagraph"/>
      </w:pPr>
      <w:r>
        <w:t xml:space="preserve">We use explainable machine learning to identify which factors most strongly influence EDS and energy consumption, following best practices established in recent PHEV research (Suarez et al., 2025).</w:t>
      </w:r>
    </w:p>
    <w:p>
      <w:pPr>
        <w:pStyle w:val="BodyText"/>
      </w:pPr>
      <w:r>
        <w:rPr>
          <w:b/>
          <w:bCs/>
        </w:rPr>
        <w:t xml:space="preserve">Targets:</w:t>
      </w:r>
      <w:r>
        <w:t xml:space="preserve"> </w:t>
      </w:r>
      <w:r>
        <w:t xml:space="preserve">- Primary: EDSen_mech (electric driving share based on mechanical energy)</w:t>
      </w:r>
      <w:r>
        <w:t xml:space="preserve"> </w:t>
      </w:r>
      <w:r>
        <w:t xml:space="preserve">- Secondary: EnTot_final100km (total energy consumption per 100 km)</w:t>
      </w:r>
    </w:p>
    <w:p>
      <w:pPr>
        <w:pStyle w:val="BodyText"/>
      </w:pPr>
      <w:r>
        <w:rPr>
          <w:b/>
          <w:bCs/>
        </w:rPr>
        <w:t xml:space="preserve">Modeling approach:</w:t>
      </w:r>
      <w:r>
        <w:t xml:space="preserve"> </w:t>
      </w:r>
      <w:r>
        <w:t xml:space="preserve">We employ boosted trees (XGBoost) as the primary modeling framework. Model selection was based on comparison with simpler alternatives and other machine learning approaches: linear regression achieved test R² of 12.7% for EDS and 44.9% for energy, while XGBoost achieved 21.1% for EDS (with 5-fold cross-validation) and 82.3% for energy, representing substantial improvements. XGBoost is chosen for its ability to capture non-linear relationships and interactions while maintaining interpretability through SHAP values, providing a clear advantage over linear models for this application. Hyperparameters are tuned using cross-validation (max_depth=6, learning_rate=0.1, nrounds=100) to optimize model performance while avoiding overfitting. Model performance is evaluated using 5-fold cross-validation on all 891,693 records with complete predictor information to ensure robust estimates.</w:t>
      </w:r>
    </w:p>
    <w:p>
      <w:pPr>
        <w:pStyle w:val="BodyText"/>
      </w:pPr>
      <w:r>
        <w:rPr>
          <w:b/>
          <w:bCs/>
        </w:rPr>
        <w:t xml:space="preserve">Explainability method:</w:t>
      </w:r>
      <w:r>
        <w:t xml:space="preserve"> </w:t>
      </w:r>
      <w:r>
        <w:t xml:space="preserve">SHAP (SHapley Additive exPlanations) values are used to quantify feature importance, providing a game-theoretic approach that accounts for interactions and non-linear relationships. SHAP values are computed for all predictors and summarized to identify the most important factors driving EDS and energy consumption.</w:t>
      </w:r>
    </w:p>
    <w:p>
      <w:pPr>
        <w:pStyle w:val="BodyText"/>
      </w:pPr>
      <w:r>
        <w:rPr>
          <w:b/>
          <w:bCs/>
        </w:rPr>
        <w:t xml:space="preserve">Robustness assessment:</w:t>
      </w:r>
      <w:r>
        <w:t xml:space="preserve"> </w:t>
      </w:r>
      <w:r>
        <w:t xml:space="preserve">Model stability is assessed through:</w:t>
      </w:r>
      <w:r>
        <w:t xml:space="preserve"> </w:t>
      </w:r>
      <w:r>
        <w:t xml:space="preserve">- Cross-validation with multiple folds to quantify uncertainty in performance metrics</w:t>
      </w:r>
      <w:r>
        <w:t xml:space="preserve"> </w:t>
      </w:r>
      <w:r>
        <w:t xml:space="preserve">- Stability across years (comparing models trained on different year subsets)</w:t>
      </w:r>
      <w:r>
        <w:t xml:space="preserve"> </w:t>
      </w:r>
      <w:r>
        <w:t xml:space="preserve">- Bootstrap resampling to quantify uncertainty in feature importance rankings</w:t>
      </w:r>
    </w:p>
    <w:p>
      <w:pPr>
        <w:pStyle w:val="BodyText"/>
      </w:pPr>
      <w:r>
        <w:rPr>
          <w:b/>
          <w:bCs/>
        </w:rPr>
        <w:t xml:space="preserve">Predictor Selection:</w:t>
      </w:r>
      <w:r>
        <w:t xml:space="preserve"> </w:t>
      </w:r>
      <w:r>
        <w:t xml:space="preserve">Predictors were selected following a logical, reviewer-proof approach with clear rationale:</w:t>
      </w:r>
    </w:p>
    <w:p>
      <w:pPr>
        <w:numPr>
          <w:ilvl w:val="0"/>
          <w:numId w:val="1006"/>
        </w:numPr>
      </w:pPr>
      <w:r>
        <w:rPr>
          <w:b/>
          <w:bCs/>
        </w:rPr>
        <w:t xml:space="preserve">Core vehicle specifications</w:t>
      </w:r>
      <w:r>
        <w:t xml:space="preserve"> </w:t>
      </w:r>
      <w:r>
        <w:t xml:space="preserve">(4 variables): Mass, Electric_range, Engine_power, drive_battery_capacity_kwh. Rationale: Fundamental physical properties that directly affect energy consumption and EDS.</w:t>
      </w:r>
    </w:p>
    <w:p>
      <w:pPr>
        <w:numPr>
          <w:ilvl w:val="0"/>
          <w:numId w:val="1006"/>
        </w:numPr>
      </w:pPr>
      <w:r>
        <w:rPr>
          <w:b/>
          <w:bCs/>
        </w:rPr>
        <w:t xml:space="preserve">Engineered efficiency ratios</w:t>
      </w:r>
      <w:r>
        <w:t xml:space="preserve"> </w:t>
      </w:r>
      <w:r>
        <w:t xml:space="preserve">(3 variables): AER-to-mass ratio, power-to-mass ratio, battery-to-mass ratio. Rationale: Capture design efficiency rather than absolute values, reducing multicollinearity with mass while maintaining physical interpretability.</w:t>
      </w:r>
    </w:p>
    <w:p>
      <w:pPr>
        <w:numPr>
          <w:ilvl w:val="0"/>
          <w:numId w:val="1006"/>
        </w:numPr>
      </w:pPr>
      <w:r>
        <w:rPr>
          <w:b/>
          <w:bCs/>
        </w:rPr>
        <w:t xml:space="preserve">Usage variable</w:t>
      </w:r>
      <w:r>
        <w:t xml:space="preserve"> </w:t>
      </w:r>
      <w:r>
        <w:t xml:space="preserve">(1 variable): Mileage_Tot (total mileage). Rationale: Captures vehicle utilization patterns affecting EDS. Note: Log-transformed versions were tested but excluded as they showed near-zero importance and did not improve model performance.</w:t>
      </w:r>
    </w:p>
    <w:p>
      <w:pPr>
        <w:numPr>
          <w:ilvl w:val="0"/>
          <w:numId w:val="1006"/>
        </w:numPr>
      </w:pPr>
      <w:r>
        <w:rPr>
          <w:b/>
          <w:bCs/>
        </w:rPr>
        <w:t xml:space="preserve">Contextual variables</w:t>
      </w:r>
      <w:r>
        <w:t xml:space="preserve"> </w:t>
      </w:r>
      <w:r>
        <w:t xml:space="preserve">(5 variables): Country, Region, Year, segment, Fuel_type. Rationale: Capture infrastructure, climate, policy context, and vehicle segment effects.</w:t>
      </w:r>
    </w:p>
    <w:p>
      <w:pPr>
        <w:pStyle w:val="FirstParagraph"/>
      </w:pPr>
      <w:r>
        <w:rPr>
          <w:b/>
          <w:bCs/>
        </w:rPr>
        <w:t xml:space="preserve">Pre-screening:</w:t>
      </w:r>
      <w:r>
        <w:t xml:space="preserve"> </w:t>
      </w:r>
      <w:r>
        <w:t xml:space="preserve">Removed variables directly constructed from targets to avoid leakage (e.g., EnICE_final100km and EnEl_final100km from EnTot_final100km, Mileage_CD_Eng_Off from EDSen_mech). Removed highly intercorrelated variables that do not provide additional information beyond what is captured by efficiency ratios. Excluded log-transformed versions of variables that showed near-zero importance. Ensured all predictors are available for extrapolation to EEA fleet.</w:t>
      </w:r>
    </w:p>
    <w:p>
      <w:pPr>
        <w:pStyle w:val="BodyText"/>
      </w:pPr>
      <w:r>
        <w:rPr>
          <w:b/>
          <w:bCs/>
        </w:rPr>
        <w:t xml:space="preserve">Final feature sets:</w:t>
      </w:r>
      <w:r>
        <w:t xml:space="preserve"> </w:t>
      </w:r>
      <w:r>
        <w:t xml:space="preserve">-</w:t>
      </w:r>
      <w:r>
        <w:t xml:space="preserve"> </w:t>
      </w:r>
      <w:r>
        <w:rPr>
          <w:b/>
          <w:bCs/>
        </w:rPr>
        <w:t xml:space="preserve">EDSen_mech model:</w:t>
      </w:r>
      <w:r>
        <w:t xml:space="preserve"> </w:t>
      </w:r>
      <w:r>
        <w:t xml:space="preserve">13 variables (4 core specs + 3 efficiency ratios + 1 usage + 5 contextual)</w:t>
      </w:r>
      <w:r>
        <w:t xml:space="preserve"> </w:t>
      </w:r>
      <w:r>
        <w:t xml:space="preserve">-</w:t>
      </w:r>
      <w:r>
        <w:t xml:space="preserve"> </w:t>
      </w:r>
      <w:r>
        <w:rPr>
          <w:b/>
          <w:bCs/>
        </w:rPr>
        <w:t xml:space="preserve">EnTot_final100km model:</w:t>
      </w:r>
      <w:r>
        <w:t xml:space="preserve"> </w:t>
      </w:r>
      <w:r>
        <w:t xml:space="preserve">14 variables (same as EDS model + EDSen_mech as predictor)</w:t>
      </w:r>
    </w:p>
    <w:p>
      <w:pPr>
        <w:pStyle w:val="BodyText"/>
      </w:pPr>
      <w:r>
        <w:rPr>
          <w:b/>
          <w:bCs/>
        </w:rPr>
        <w:t xml:space="preserve">Special consideration for energy model:</w:t>
      </w:r>
      <w:r>
        <w:t xml:space="preserve"> </w:t>
      </w:r>
      <w:r>
        <w:t xml:space="preserve">For the EnTot_final100km model, we include EDSen_mech as an additional predictor. This is justified because EDS is a key driver of energy consumption: higher electric driving share directly reduces total energy consumption through the more efficient electric propulsion system. The strong negative correlation (r = -0.61) between EDS and energy confirms this relationship. Including EDS as a predictor for energy is not circular because EDS reflects operational electrification patterns (charging behavior, trip structure) that causally influence energy outcomes, rather than being derived from energy values.</w:t>
      </w:r>
    </w:p>
    <w:p>
      <w:pPr>
        <w:pStyle w:val="BodyText"/>
      </w:pPr>
      <w:r>
        <w:rPr>
          <w:b/>
          <w:bCs/>
        </w:rPr>
        <w:t xml:space="preserve">Model results:</w:t>
      </w:r>
      <w:r>
        <w:t xml:space="preserve"> </w:t>
      </w:r>
      <w:r>
        <w:t xml:space="preserve">- Feature importance (SHAP summary) for both EDSen_mech (primary target) and EnTot_final100km (secondary target)</w:t>
      </w:r>
      <w:r>
        <w:t xml:space="preserve"> </w:t>
      </w:r>
      <w:r>
        <w:t xml:space="preserve">- Dependence plots for top features showing relationships between predictors and targets</w:t>
      </w:r>
      <w:r>
        <w:t xml:space="preserve"> </w:t>
      </w:r>
      <w:r>
        <w:t xml:space="preserve">- Key predictors include: electric range (AER), total mileage (Mileage_Tot), AER-to-mass ratio, mass, country, region, year</w:t>
      </w:r>
      <w:r>
        <w:t xml:space="preserve"> </w:t>
      </w:r>
      <w:r>
        <w:t xml:space="preserve">- Robustness: stability across years (train-by-year vs pooled with year feature), cross-validation for performance evaluation, uncertainty quantification on importance ranks</w:t>
      </w:r>
    </w:p>
    <w:p>
      <w:pPr>
        <w:pStyle w:val="BodyText"/>
      </w:pPr>
      <w:r>
        <w:rPr>
          <w:b/>
          <w:bCs/>
        </w:rPr>
        <w:t xml:space="preserve">Language:</w:t>
      </w:r>
      <w:r>
        <w:t xml:space="preserve"> </w:t>
      </w:r>
      <w:r>
        <w:t xml:space="preserve">Call it feature importance (not driver ranking).</w:t>
      </w:r>
    </w:p>
    <w:bookmarkEnd w:id="22"/>
    <w:bookmarkStart w:id="23" w:name="Xcd75cbcfc850f6299b162e7f7b9de69004da0c2"/>
    <w:p>
      <w:pPr>
        <w:pStyle w:val="Heading4"/>
      </w:pPr>
      <w:r>
        <w:rPr>
          <w:rStyle w:val="SectionNumber"/>
        </w:rPr>
        <w:t xml:space="preserve">1.3.2.3</w:t>
      </w:r>
      <w:r>
        <w:tab/>
      </w:r>
      <w:r>
        <w:t xml:space="preserve">EU-Fleet Representativeness / Extrapolation</w:t>
      </w:r>
    </w:p>
    <w:p>
      <w:pPr>
        <w:pStyle w:val="FirstParagraph"/>
      </w:pPr>
      <w:r>
        <w:t xml:space="preserve">Use EEA registrations and characteristics to compute EU-fleet metrics for 2021-2024. Models are used to predict EDS and/or energy outcomes for the whole fleet, then aggregate with fleet weights.</w:t>
      </w:r>
    </w:p>
    <w:p>
      <w:pPr>
        <w:pStyle w:val="BodyText"/>
      </w:pPr>
      <w:r>
        <w:rPr>
          <w:b/>
          <w:bCs/>
        </w:rPr>
        <w:t xml:space="preserve">Approach:</w:t>
      </w:r>
      <w:r>
        <w:t xml:space="preserve"> </w:t>
      </w:r>
      <w:r>
        <w:t xml:space="preserve">- Fit models (from 3.2.2) on OBFCM where target is observed</w:t>
      </w:r>
      <w:r>
        <w:t xml:space="preserve"> </w:t>
      </w:r>
      <w:r>
        <w:t xml:space="preserve">- Apply to EEA fleet records to predict: EDSen_mech (primary), EnTot_final100km (secondary)</w:t>
      </w:r>
      <w:r>
        <w:t xml:space="preserve"> </w:t>
      </w:r>
      <w:r>
        <w:t xml:space="preserve">- Aggregate to EU-fleet weighted metrics: distribution summaries by reg-year, segment, OEM group (careful), country</w:t>
      </w:r>
      <w:r>
        <w:t xml:space="preserve"> </w:t>
      </w:r>
      <w:r>
        <w:t xml:space="preserve">- Uncertainty bands (e.g., via model CV / bootstrap) if feasible</w:t>
      </w:r>
    </w:p>
    <w:bookmarkEnd w:id="23"/>
    <w:bookmarkStart w:id="24" w:name="subfleet-isolation-micro-evidence"/>
    <w:p>
      <w:pPr>
        <w:pStyle w:val="Heading4"/>
      </w:pPr>
      <w:r>
        <w:rPr>
          <w:rStyle w:val="SectionNumber"/>
        </w:rPr>
        <w:t xml:space="preserve">1.3.2.4</w:t>
      </w:r>
      <w:r>
        <w:tab/>
      </w:r>
      <w:r>
        <w:t xml:space="preserve">Subfleet Isolation + Micro Evidence</w:t>
      </w:r>
    </w:p>
    <w:p>
      <w:pPr>
        <w:pStyle w:val="FirstParagraph"/>
      </w:pPr>
      <w:r>
        <w:rPr>
          <w:b/>
          <w:bCs/>
        </w:rPr>
        <w:t xml:space="preserve">Select subfleets strategically:</w:t>
      </w:r>
      <w:r>
        <w:t xml:space="preserve"> </w:t>
      </w:r>
      <w:r>
        <w:t xml:space="preserve">- Golf family / popular VFNs (for comparability with campaign)</w:t>
      </w:r>
      <w:r>
        <w:t xml:space="preserve"> </w:t>
      </w:r>
      <w:r>
        <w:t xml:space="preserve">- Prius (if/when ready)</w:t>
      </w:r>
      <w:r>
        <w:t xml:space="preserve"> </w:t>
      </w:r>
      <w:r>
        <w:t xml:space="preserve">- Another popular high-volume model group (to show generality)</w:t>
      </w:r>
    </w:p>
    <w:p>
      <w:pPr>
        <w:pStyle w:val="BodyText"/>
      </w:pPr>
      <w:r>
        <w:rPr>
          <w:b/>
          <w:bCs/>
        </w:rPr>
        <w:t xml:space="preserve">What we do with subfleets:</w:t>
      </w:r>
      <w:r>
        <w:t xml:space="preserve"> </w:t>
      </w:r>
      <w:r>
        <w:t xml:space="preserve">- Repeat the flagship relationship (energy split vs EDS) within the subfleet</w:t>
      </w:r>
      <w:r>
        <w:t xml:space="preserve"> </w:t>
      </w:r>
      <w:r>
        <w:t xml:space="preserve">- Compare subfleet vs overall fleet distribution (where it sits)</w:t>
      </w:r>
      <w:r>
        <w:t xml:space="preserve"> </w:t>
      </w:r>
      <w:r>
        <w:t xml:space="preserve">- Show whether feature importance shifts when vehicle design is held approximately constant</w:t>
      </w:r>
    </w:p>
    <w:p>
      <w:pPr>
        <w:pStyle w:val="BodyText"/>
      </w:pPr>
      <w:r>
        <w:rPr>
          <w:b/>
          <w:bCs/>
        </w:rPr>
        <w:t xml:space="preserve">Campaign mechanistic illustration (Golf now):</w:t>
      </w:r>
      <w:r>
        <w:t xml:space="preserve"> </w:t>
      </w:r>
      <w:r>
        <w:t xml:space="preserve">- Trip-level EDS proxy / electrified share vs charging events / trip length distribution</w:t>
      </w:r>
      <w:r>
        <w:t xml:space="preserve"> </w:t>
      </w:r>
      <w:r>
        <w:t xml:space="preserve">- Show how the same vehicle can sit in different parts of fleet distribution depending on usage</w:t>
      </w:r>
      <w:r>
        <w:t xml:space="preserve"> </w:t>
      </w:r>
      <w:r>
        <w:t xml:space="preserve">- Use this to explain tails (low EDS users vs high EDS users)</w:t>
      </w:r>
      <w:r>
        <w:t xml:space="preserve"> </w:t>
      </w:r>
      <w:r>
        <w:t xml:space="preserve">- Framing: Not</w:t>
      </w:r>
      <w:r>
        <w:t xml:space="preserve"> </w:t>
      </w:r>
      <w:r>
        <w:t xml:space="preserve">“validation,”</w:t>
      </w:r>
      <w:r>
        <w:t xml:space="preserve"> </w:t>
      </w:r>
      <w:r>
        <w:t xml:space="preserve">but</w:t>
      </w:r>
      <w:r>
        <w:t xml:space="preserve"> </w:t>
      </w:r>
      <w:r>
        <w:t xml:space="preserve">“mechanistic consistency and interpretation”</w:t>
      </w:r>
    </w:p>
    <w:p>
      <w:r>
        <w:pict>
          <v:rect style="width:0;height:1.5pt" o:hralign="center" o:hrstd="t" o:hr="t"/>
        </w:pict>
      </w:r>
    </w:p>
    <w:bookmarkEnd w:id="24"/>
    <w:bookmarkEnd w:id="25"/>
    <w:bookmarkEnd w:id="26"/>
    <w:bookmarkStart w:id="86" w:name="results"/>
    <w:p>
      <w:pPr>
        <w:pStyle w:val="Heading2"/>
      </w:pPr>
      <w:r>
        <w:rPr>
          <w:rStyle w:val="SectionNumber"/>
        </w:rPr>
        <w:t xml:space="preserve">1.4</w:t>
      </w:r>
      <w:r>
        <w:tab/>
      </w:r>
      <w:r>
        <w:t xml:space="preserve">Results</w:t>
      </w:r>
    </w:p>
    <w:bookmarkStart w:id="68" w:name="X5d3e9f3f6b46b2d919ff0a32d224629b62720c4"/>
    <w:p>
      <w:pPr>
        <w:pStyle w:val="Heading3"/>
      </w:pPr>
      <w:r>
        <w:rPr>
          <w:rStyle w:val="SectionNumber"/>
        </w:rPr>
        <w:t xml:space="preserve">1.4.1</w:t>
      </w:r>
      <w:r>
        <w:tab/>
      </w:r>
      <w:r>
        <w:t xml:space="preserve">Fleet-Scale Distributions and Heterogeneity of EDS and Energy (OBFCM)</w:t>
      </w:r>
    </w:p>
    <w:p>
      <w:pPr>
        <w:pStyle w:val="FirstParagraph"/>
      </w:pPr>
      <w:r>
        <w:t xml:space="preserve">This section presents the core findings from OBFCM data, establishing the fundamental relationships between energy consumption and electric driving share, and documenting the substantial heterogeneity in real-world PHEV performance.</w:t>
      </w:r>
    </w:p>
    <w:bookmarkStart w:id="30" w:name="headline-eu-distributions"/>
    <w:p>
      <w:pPr>
        <w:pStyle w:val="Heading4"/>
      </w:pPr>
      <w:r>
        <w:rPr>
          <w:rStyle w:val="SectionNumber"/>
        </w:rPr>
        <w:t xml:space="preserve">1.4.1.1</w:t>
      </w:r>
      <w:r>
        <w:tab/>
      </w:r>
      <w:r>
        <w:t xml:space="preserve">Headline EU Distributions</w:t>
      </w:r>
    </w:p>
    <w:p>
      <w:pPr>
        <w:pStyle w:val="FirstParagraph"/>
      </w:pPr>
      <w:r>
        <w:t xml:space="preserve">Our analysis covers 900,525 unflagged PHEV records from 29 European countries, representing the largest fleet-scale analysis of real-world PHEV performance to date. The distribution of electric driving share (EDSen_mech) shows substantial heterogeneity: the median EDSen_mech is 27.05%, with an interquartile range (IQR) of 10.98% to 44.52% (Figure 1). The mean EDSen_mech is 29.37%, indicating a right-skewed distribution where a subset of vehicles achieves high electrification rates. The 5th and 95th percentiles span from 0.73% to 67.96%, demonstrating the wide range of real-world electric driving behavior.</w:t>
      </w:r>
    </w:p>
    <w:p>
      <w:pPr>
        <w:pStyle w:val="CaptionedFigure"/>
      </w:pPr>
      <w:r>
        <w:drawing>
          <wp:inline>
            <wp:extent cx="5334000" cy="3200399"/>
            <wp:effectExtent b="0" l="0" r="0" t="0"/>
            <wp:docPr descr="Figure 1" title="" id="28" name="Picture"/>
            <a:graphic>
              <a:graphicData uri="http://schemas.openxmlformats.org/drawingml/2006/picture">
                <pic:pic>
                  <pic:nvPicPr>
                    <pic:cNvPr descr="figures/figure01_eds_distribution.png" id="29" name="Picture"/>
                    <pic:cNvPicPr>
                      <a:picLocks noChangeArrowheads="1" noChangeAspect="1"/>
                    </pic:cNvPicPr>
                  </pic:nvPicPr>
                  <pic:blipFill>
                    <a:blip r:embed="rId27"/>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1</w:t>
      </w:r>
    </w:p>
    <w:p>
      <w:pPr>
        <w:jc w:val="center"/>
      </w:pPr>
      <w:r>
        <w:drawing>
          <wp:inline>
            <wp:extent cx="5486400" cy="3291840"/>
            <wp:docPr id="170" name="Picture 170"/>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486400" cy="3291840"/>
                    </a:xfrm>
                    <a:prstGeom prst="rect"/>
                  </pic:spPr>
                </pic:pic>
              </a:graphicData>
            </a:graphic>
          </wp:inline>
        </w:drawing>
      </w:r>
    </w:p>
    <w:p>
      <w:pPr>
        <w:pStyle w:val="BodyText"/>
      </w:pPr>
      <w:r>
        <w:rPr>
          <w:b/>
          <w:bCs/>
        </w:rPr>
        <w:t xml:space="preserve">Figure 1:</w:t>
      </w:r>
      <w:r>
        <w:t xml:space="preserve"> </w:t>
      </w:r>
      <w:r>
        <w:t xml:space="preserve">Distribution of Electric Driving Share (EDS) across all PHEV records. The histogram shows the density of EDS values, with the red dashed line indicating the median (27.05%) and orange dashed lines showing the first and third quartiles (10.98% and 44.52%). The distribution shows substantial heterogeneity, with a right-skewed pattern indicating that while most vehicles achieve moderate EDS values, a subset achieves high electrification rates.</w:t>
      </w:r>
    </w:p>
    <w:p>
      <w:pPr>
        <w:pStyle w:val="BodyText"/>
      </w:pPr>
      <w:r>
        <w:t xml:space="preserve">For total energy consumption (EnTot_final100km), the median is 58.13 kWh/100 km (IQR: 47.89 to 69.62 kWh/100 km), with a mean of 59.82 kWh/100 km. This energy is split between ICE and electric sources: median EnICE_final100km is 50.20 kWh/100 km (IQR: 36.24 to 64.08), while median EnEl_final100km is 8.08 kWh/100 km (IQR: 3.37 to 13.09). The dominance of ICE energy over electric energy (approximately 6:1 ratio) indicates that despite having electric capability, PHEVs in our sample rely more heavily on their internal combustion engines in real-world operation.</w:t>
      </w:r>
    </w:p>
    <w:bookmarkEnd w:id="30"/>
    <w:bookmarkStart w:id="34" w:name="eds-distribution-over-time"/>
    <w:p>
      <w:pPr>
        <w:pStyle w:val="Heading4"/>
      </w:pPr>
      <w:r>
        <w:rPr>
          <w:rStyle w:val="SectionNumber"/>
        </w:rPr>
        <w:t xml:space="preserve">1.4.1.2</w:t>
      </w:r>
      <w:r>
        <w:tab/>
      </w:r>
      <w:r>
        <w:t xml:space="preserve">EDS Distribution Over Time</w:t>
      </w:r>
    </w:p>
    <w:p>
      <w:pPr>
        <w:pStyle w:val="FirstParagraph"/>
      </w:pPr>
      <w:r>
        <w:t xml:space="preserve">Figure 3 presents the temporal evolution of EDS distribution, combining density plots by period with a timeline of median values. This information-dense visualization (recreating Markos’s Screenshot 1 with improved quality) shows how EDS distributions have evolved over the 2021-2023 period, revealing whether there are trends in electric driving behavior over time.</w:t>
      </w:r>
    </w:p>
    <w:p>
      <w:pPr>
        <w:pStyle w:val="CaptionedFigure"/>
      </w:pPr>
      <w:r>
        <w:drawing>
          <wp:inline>
            <wp:extent cx="5334000" cy="4445000"/>
            <wp:effectExtent b="0" l="0" r="0" t="0"/>
            <wp:docPr descr="Figure 3" title="" id="32" name="Picture"/>
            <a:graphic>
              <a:graphicData uri="http://schemas.openxmlformats.org/drawingml/2006/picture">
                <pic:pic>
                  <pic:nvPicPr>
                    <pic:cNvPr descr="figures/figure03_eds_density_timeline.png" id="33" name="Picture"/>
                    <pic:cNvPicPr>
                      <a:picLocks noChangeArrowheads="1" noChangeAspect="1"/>
                    </pic:cNvPicPr>
                  </pic:nvPicPr>
                  <pic:blipFill>
                    <a:blip r:embed="rId31"/>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w:t>
      </w:r>
    </w:p>
    <w:p>
      <w:pPr>
        <w:jc w:val="center"/>
      </w:pPr>
      <w:r>
        <w:drawing>
          <wp:inline>
            <wp:extent cx="5486400" cy="4572000"/>
            <wp:docPr id="169" name="Picture 169"/>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5486400" cy="4572000"/>
                    </a:xfrm>
                    <a:prstGeom prst="rect"/>
                  </pic:spPr>
                </pic:pic>
              </a:graphicData>
            </a:graphic>
          </wp:inline>
        </w:drawing>
      </w:r>
    </w:p>
    <w:p>
      <w:pPr>
        <w:pStyle w:val="BodyText"/>
      </w:pPr>
      <w:r>
        <w:rPr>
          <w:b/>
          <w:bCs/>
        </w:rPr>
        <w:t xml:space="preserve">Figure 3:</w:t>
      </w:r>
      <w:r>
        <w:t xml:space="preserve"> </w:t>
      </w:r>
      <w:r>
        <w:t xml:space="preserve">EDS distribution over time (top panel) and median EDS timeline (bottom panel). The density plots show the distribution of EDS values across different reporting periods, with distinct colors for each period. The timeline panel shows the evolution of median EDS, allowing identification of temporal trends in electric driving behavior.</w:t>
      </w:r>
    </w:p>
    <w:bookmarkEnd w:id="34"/>
    <w:bookmarkStart w:id="38" w:name="eds-relationships-with-key-variables"/>
    <w:p>
      <w:pPr>
        <w:pStyle w:val="Heading4"/>
      </w:pPr>
      <w:r>
        <w:rPr>
          <w:rStyle w:val="SectionNumber"/>
        </w:rPr>
        <w:t xml:space="preserve">1.4.1.3</w:t>
      </w:r>
      <w:r>
        <w:tab/>
      </w:r>
      <w:r>
        <w:t xml:space="preserve">EDS Relationships with Key Variables</w:t>
      </w:r>
    </w:p>
    <w:p>
      <w:pPr>
        <w:pStyle w:val="FirstParagraph"/>
      </w:pPr>
      <w:r>
        <w:t xml:space="preserve">Descriptive analysis reveals several factors associated with EDS variation (Figure 4).</w:t>
      </w:r>
      <w:r>
        <w:t xml:space="preserve"> </w:t>
      </w:r>
      <w:r>
        <w:rPr>
          <w:b/>
          <w:bCs/>
        </w:rPr>
        <w:t xml:space="preserve">Electric range (AER, Electric_range)</w:t>
      </w:r>
      <w:r>
        <w:t xml:space="preserve"> </w:t>
      </w:r>
      <w:r>
        <w:t xml:space="preserve">shows a strong positive association with EDS: vehicles in the lowest AER quartile (13-50 km) have a median EDSen_mech of 20.38%, while vehicles in the highest quartile (71-131 km) achieve 32.72% median EDS. This suggests that greater electric range enables more electric driving, though the relationship is not linear and plateaus at higher ranges.</w:t>
      </w:r>
      <w:r>
        <w:t xml:space="preserve"> </w:t>
      </w:r>
      <w:r>
        <w:rPr>
          <w:b/>
          <w:bCs/>
        </w:rPr>
        <w:t xml:space="preserve">Total mileage (Mileage_Tot)</w:t>
      </w:r>
      <w:r>
        <w:t xml:space="preserve"> </w:t>
      </w:r>
      <w:r>
        <w:t xml:space="preserve">shows a strong inverse relationship with EDS: vehicles in the lowest mileage quartile (500-11,600 km) have a median EDSen_mech of 34.4%, while those in the highest quartile (34,600-300,000 km) show only 19.0% median EDS. This pattern likely reflects that high-mileage vehicles are used for longer trips that exceed electric range, reducing the proportion of electric driving.</w:t>
      </w:r>
    </w:p>
    <w:p>
      <w:pPr>
        <w:pStyle w:val="CaptionedFigure"/>
      </w:pPr>
      <w:r>
        <w:drawing>
          <wp:inline>
            <wp:extent cx="5334000" cy="3810000"/>
            <wp:effectExtent b="0" l="0" r="0" t="0"/>
            <wp:docPr descr="Figure 4" title="" id="36" name="Picture"/>
            <a:graphic>
              <a:graphicData uri="http://schemas.openxmlformats.org/drawingml/2006/picture">
                <pic:pic>
                  <pic:nvPicPr>
                    <pic:cNvPr descr="figures/figure04_eds_correlates.png" id="37" name="Picture"/>
                    <pic:cNvPicPr>
                      <a:picLocks noChangeArrowheads="1" noChangeAspect="1"/>
                    </pic:cNvPicPr>
                  </pic:nvPicPr>
                  <pic:blipFill>
                    <a:blip r:embed="rId35"/>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4</w:t>
      </w:r>
    </w:p>
    <w:p>
      <w:pPr>
        <w:jc w:val="center"/>
      </w:pPr>
      <w:r>
        <w:drawing>
          <wp:inline>
            <wp:extent cx="5486400" cy="3291840"/>
            <wp:docPr id="168" name="Picture 168"/>
            <wp:cNvGraphicFramePr>
              <a:graphicFrameLocks noChangeAspect="1"/>
            </wp:cNvGraphicFramePr>
            <a:graphic>
              <a:graphicData uri="http://schemas.openxmlformats.org/drawingml/2006/picture">
                <pic:pic>
                  <pic:nvPicPr>
                    <pic:cNvPr id="0" name="figure4a_regional_heterogeneity.png"/>
                    <pic:cNvPicPr/>
                  </pic:nvPicPr>
                  <pic:blipFill>
                    <a:blip r:embed="rId12"/>
                    <a:stretch>
                      <a:fillRect/>
                    </a:stretch>
                  </pic:blipFill>
                  <pic:spPr>
                    <a:xfrm>
                      <a:off x="0" y="0"/>
                      <a:ext cx="5486400" cy="3291840"/>
                    </a:xfrm>
                    <a:prstGeom prst="rect"/>
                  </pic:spPr>
                </pic:pic>
              </a:graphicData>
            </a:graphic>
          </wp:inline>
        </w:drawing>
      </w:r>
    </w:p>
    <w:p>
      <w:pPr>
        <w:pStyle w:val="BodyText"/>
      </w:pPr>
      <w:r>
        <w:rPr>
          <w:b/>
          <w:bCs/>
        </w:rPr>
        <w:t xml:space="preserve">Figure 4:</w:t>
      </w:r>
      <w:r>
        <w:t xml:space="preserve"> </w:t>
      </w:r>
      <w:r>
        <w:t xml:space="preserve">EDS relationships with key variables. Four panels show scatter plots of EDS versus: (top left) Electric range, (top right) Total mileage (log scale), (bottom left) Vehicle mass, and (bottom right) AER/Mass ratio. Smooth GAM curves (with confidence bands) are overlaid to show the relationship patterns. Higher electric range and AER/Mass ratio are associated with higher EDS, while higher mileage and mass show inverse relationships.</w:t>
      </w:r>
    </w:p>
    <w:bookmarkEnd w:id="38"/>
    <w:bookmarkStart w:id="42" w:name="X752c773b5797a397304eec1ab6bd604175c62bb"/>
    <w:p>
      <w:pPr>
        <w:pStyle w:val="Heading4"/>
      </w:pPr>
      <w:r>
        <w:rPr>
          <w:rStyle w:val="SectionNumber"/>
        </w:rPr>
        <w:t xml:space="preserve">1.4.1.4</w:t>
      </w:r>
      <w:r>
        <w:tab/>
      </w:r>
      <w:r>
        <w:t xml:space="preserve">The Flagship Relationship: Energy Split vs EDS</w:t>
      </w:r>
    </w:p>
    <w:p>
      <w:pPr>
        <w:pStyle w:val="FirstParagraph"/>
      </w:pPr>
      <w:r>
        <w:t xml:space="preserve">Figure 5 presents the flagship relationship between energy split and electric driving share, combining a stacked area plot showing ICE and electric energy contributions. The stacked area plot reveals how the energy mix evolves across EDS:</w:t>
      </w:r>
      <w:r>
        <w:t xml:space="preserve"> </w:t>
      </w:r>
      <w:r>
        <w:rPr>
          <w:b/>
          <w:bCs/>
        </w:rPr>
        <w:t xml:space="preserve">as EDSen_mech increases, electric energy (EnEl_final100km) increases while ICE energy (EnICE_final100km) decreases, resulting in lower total energy consumption at higher EDS values</w:t>
      </w:r>
      <w:r>
        <w:t xml:space="preserve">. This fundamental relationship demonstrates that increased electric driving directly reduces total energy consumption, as electric propulsion is more efficient than internal combustion.</w:t>
      </w:r>
    </w:p>
    <w:p>
      <w:pPr>
        <w:pStyle w:val="CaptionedFigure"/>
      </w:pPr>
      <w:r>
        <w:drawing>
          <wp:inline>
            <wp:extent cx="5334000" cy="3556000"/>
            <wp:effectExtent b="0" l="0" r="0" t="0"/>
            <wp:docPr descr="Figure 5" title="" id="40" name="Picture"/>
            <a:graphic>
              <a:graphicData uri="http://schemas.openxmlformats.org/drawingml/2006/picture">
                <pic:pic>
                  <pic:nvPicPr>
                    <pic:cNvPr descr="figures/figure05_energy_split_vs_eds.png" id="41" name="Picture"/>
                    <pic:cNvPicPr>
                      <a:picLocks noChangeArrowheads="1" noChangeAspect="1"/>
                    </pic:cNvPicPr>
                  </pic:nvPicPr>
                  <pic:blipFill>
                    <a:blip r:embed="rId3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w:t>
      </w:r>
    </w:p>
    <w:p>
      <w:pPr>
        <w:jc w:val="center"/>
      </w:pPr>
      <w:r>
        <w:drawing>
          <wp:inline>
            <wp:extent cx="5486400" cy="3918857"/>
            <wp:docPr id="167" name="Picture 167"/>
            <wp:cNvGraphicFramePr>
              <a:graphicFrameLocks noChangeAspect="1"/>
            </wp:cNvGraphicFramePr>
            <a:graphic>
              <a:graphicData uri="http://schemas.openxmlformats.org/drawingml/2006/picture">
                <pic:pic>
                  <pic:nvPicPr>
                    <pic:cNvPr id="0" name="figure5_eds_correlates.png"/>
                    <pic:cNvPicPr/>
                  </pic:nvPicPr>
                  <pic:blipFill>
                    <a:blip r:embed="rId11"/>
                    <a:stretch>
                      <a:fillRect/>
                    </a:stretch>
                  </pic:blipFill>
                  <pic:spPr>
                    <a:xfrm>
                      <a:off x="0" y="0"/>
                      <a:ext cx="5486400" cy="3918857"/>
                    </a:xfrm>
                    <a:prstGeom prst="rect"/>
                  </pic:spPr>
                </pic:pic>
              </a:graphicData>
            </a:graphic>
          </wp:inline>
        </w:drawing>
      </w:r>
    </w:p>
    <w:p>
      <w:pPr>
        <w:pStyle w:val="BodyText"/>
      </w:pPr>
      <w:r>
        <w:rPr>
          <w:b/>
          <w:bCs/>
        </w:rPr>
        <w:t xml:space="preserve">Figure 5:</w:t>
      </w:r>
      <w:r>
        <w:t xml:space="preserve"> </w:t>
      </w:r>
      <w:r>
        <w:t xml:space="preserve">Energy split versus Electric Driving Share. The stacked area plot shows ICE energy (red/orange area) and electric energy (purple area) contributions as EDS increases. The black line shows total energy consumption, demonstrating how increased EDS reduces total energy consumption. This fundamental relationship establishes why understanding the drivers of EDS is essential for improving PHEV real-world performance.</w:t>
      </w:r>
    </w:p>
    <w:p>
      <w:pPr>
        <w:pStyle w:val="BodyText"/>
      </w:pPr>
      <w:r>
        <w:t xml:space="preserve">This relationship demonstrates that EDS is a critical determinant of use-phase energy outcomes: vehicles with higher electric driving share achieve substantially lower total energy consumption. The substantial variability in EDS across the fleet (ranging from near 0% to nearly 100%) translates directly into variability in energy consumption, highlighting the importance of understanding what drives EDS variation.</w:t>
      </w:r>
    </w:p>
    <w:bookmarkEnd w:id="42"/>
    <w:bookmarkStart w:id="49" w:name="total-energy-consumption-distribution"/>
    <w:p>
      <w:pPr>
        <w:pStyle w:val="Heading4"/>
      </w:pPr>
      <w:r>
        <w:rPr>
          <w:rStyle w:val="SectionNumber"/>
        </w:rPr>
        <w:t xml:space="preserve">1.4.1.5</w:t>
      </w:r>
      <w:r>
        <w:tab/>
      </w:r>
      <w:r>
        <w:t xml:space="preserve">Total Energy Consumption Distribution</w:t>
      </w:r>
    </w:p>
    <w:p>
      <w:pPr>
        <w:pStyle w:val="CaptionedFigure"/>
      </w:pPr>
      <w:r>
        <w:drawing>
          <wp:inline>
            <wp:extent cx="5334000" cy="3200399"/>
            <wp:effectExtent b="0" l="0" r="0" t="0"/>
            <wp:docPr descr="Figure 6" title="" id="44" name="Picture"/>
            <a:graphic>
              <a:graphicData uri="http://schemas.openxmlformats.org/drawingml/2006/picture">
                <pic:pic>
                  <pic:nvPicPr>
                    <pic:cNvPr descr="figures/figure06_total_energy_distribution.png" id="45" name="Picture"/>
                    <pic:cNvPicPr>
                      <a:picLocks noChangeArrowheads="1" noChangeAspect="1"/>
                    </pic:cNvPicPr>
                  </pic:nvPicPr>
                  <pic:blipFill>
                    <a:blip r:embed="rId43"/>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6</w:t>
      </w:r>
    </w:p>
    <w:p>
      <w:pPr>
        <w:jc w:val="center"/>
      </w:pPr>
      <w:r>
        <w:drawing>
          <wp:inline>
            <wp:extent cx="5486400" cy="4389120"/>
            <wp:docPr id="166" name="Picture 166"/>
            <wp:cNvGraphicFramePr>
              <a:graphicFrameLocks noChangeAspect="1"/>
            </wp:cNvGraphicFramePr>
            <a:graphic>
              <a:graphicData uri="http://schemas.openxmlformats.org/drawingml/2006/picture">
                <pic:pic>
                  <pic:nvPicPr>
                    <pic:cNvPr id="0" name="figure6a_shap_summary_eds.png"/>
                    <pic:cNvPicPr/>
                  </pic:nvPicPr>
                  <pic:blipFill>
                    <a:blip r:embed="rId9"/>
                    <a:stretch>
                      <a:fillRect/>
                    </a:stretch>
                  </pic:blipFill>
                  <pic:spPr>
                    <a:xfrm>
                      <a:off x="0" y="0"/>
                      <a:ext cx="5486400" cy="4389120"/>
                    </a:xfrm>
                    <a:prstGeom prst="rect"/>
                  </pic:spPr>
                </pic:pic>
              </a:graphicData>
            </a:graphic>
          </wp:inline>
        </w:drawing>
      </w:r>
    </w:p>
    <w:p>
      <w:pPr>
        <w:pStyle w:val="BodyText"/>
      </w:pPr>
      <w:r>
        <w:rPr>
          <w:b/>
          <w:bCs/>
        </w:rPr>
        <w:t xml:space="preserve">Figure 6:</w:t>
      </w:r>
      <w:r>
        <w:t xml:space="preserve"> </w:t>
      </w:r>
      <w:r>
        <w:t xml:space="preserve">Distribution of total energy consumption (EnTot_final100km) across all PHEV records. The histogram shows the density of total energy values, with the red dashed line indicating the median (58.13 kWh/100 km) and orange dashed lines showing the first and third quartiles (47.89 and 69.62 kWh/100 km). The distribution demonstrates substantial heterogeneity in real-world energy consumption.</w:t>
      </w:r>
    </w:p>
    <w:p>
      <w:pPr>
        <w:pStyle w:val="CaptionedFigure"/>
      </w:pPr>
      <w:r>
        <w:drawing>
          <wp:inline>
            <wp:extent cx="5334000" cy="2667000"/>
            <wp:effectExtent b="0" l="0" r="0" t="0"/>
            <wp:docPr descr="Figure 2" title="" id="47" name="Picture"/>
            <a:graphic>
              <a:graphicData uri="http://schemas.openxmlformats.org/drawingml/2006/picture">
                <pic:pic>
                  <pic:nvPicPr>
                    <pic:cNvPr descr="figures/figure02_eds_by_country.png" id="48" name="Picture"/>
                    <pic:cNvPicPr>
                      <a:picLocks noChangeArrowheads="1" noChangeAspect="1"/>
                    </pic:cNvPicPr>
                  </pic:nvPicPr>
                  <pic:blipFill>
                    <a:blip r:embed="rId4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w:t>
      </w:r>
    </w:p>
    <w:p>
      <w:pPr>
        <w:jc w:val="center"/>
      </w:pPr>
      <w:r>
        <w:drawing>
          <wp:inline>
            <wp:extent cx="5486400" cy="2743200"/>
            <wp:docPr id="165" name="Picture 165"/>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486400" cy="2743200"/>
                    </a:xfrm>
                    <a:prstGeom prst="rect"/>
                  </pic:spPr>
                </pic:pic>
              </a:graphicData>
            </a:graphic>
          </wp:inline>
        </w:drawing>
      </w:r>
    </w:p>
    <w:p>
      <w:pPr>
        <w:pStyle w:val="BodyText"/>
      </w:pPr>
      <w:r>
        <w:rPr>
          <w:b/>
          <w:bCs/>
        </w:rPr>
        <w:t xml:space="preserve">Figure 2:</w:t>
      </w:r>
      <w:r>
        <w:t xml:space="preserve"> </w:t>
      </w:r>
      <w:r>
        <w:t xml:space="preserve">Median Electric Driving Share by country with interquartile range (IQR) bars. The figure shows the top 15 countries by sample size, ordered by median EDS. Error bars indicate the IQR, providing insight into the distribution width within each country. Countries are arranged in descending order of median EDS to highlight regional patterns.</w:t>
      </w:r>
    </w:p>
    <w:p>
      <w:pPr>
        <w:pStyle w:val="BodyText"/>
      </w:pPr>
      <w:r>
        <w:t xml:space="preserve">At the regional level, the Northern region shows the highest median EDSen_mech (32.77%), followed by Central (27.55%), Southern (26.76%), and Western (25.62%) regions. This regional variation likely reflects differences in charging infrastructure, climate, driving patterns, and policy contexts.</w:t>
      </w:r>
    </w:p>
    <w:p>
      <w:pPr>
        <w:pStyle w:val="BodyText"/>
      </w:pPr>
      <w:r>
        <w:t xml:space="preserve">Total energy consumption also varies regionally: the Central region shows the highest median EnTot_final100km (63.19 kWh/100 km), while the Northern region shows the lowest (54.25 kWh/100 km), consistent with the higher EDS values in Northern countries. These patterns are contextual associations and should not be interpreted as causal relationships, as they likely reflect complex interactions between vehicle characteristics, infrastructure, climate, and user behavior.</w:t>
      </w:r>
    </w:p>
    <w:bookmarkEnd w:id="49"/>
    <w:bookmarkStart w:id="50" w:name="X7ca22144e948931109cf2d1a60a44644bf734c2"/>
    <w:p>
      <w:pPr>
        <w:pStyle w:val="Heading4"/>
      </w:pPr>
      <w:r>
        <w:rPr>
          <w:rStyle w:val="SectionNumber"/>
        </w:rPr>
        <w:t xml:space="preserve">1.4.1.6</w:t>
      </w:r>
      <w:r>
        <w:tab/>
      </w:r>
      <w:r>
        <w:t xml:space="preserve">“What Drives EDS”</w:t>
      </w:r>
      <w:r>
        <w:t xml:space="preserve"> </w:t>
      </w:r>
      <w:r>
        <w:t xml:space="preserve">— Descriptive Before Modelling</w:t>
      </w:r>
    </w:p>
    <w:p>
      <w:pPr>
        <w:pStyle w:val="FirstParagraph"/>
      </w:pPr>
      <w:r>
        <w:t xml:space="preserve">Descriptive analysis reveals several factors associated with EDS variation.</w:t>
      </w:r>
      <w:r>
        <w:t xml:space="preserve"> </w:t>
      </w:r>
      <w:r>
        <w:rPr>
          <w:b/>
          <w:bCs/>
        </w:rPr>
        <w:t xml:space="preserve">Electric range (AER, Electric_range)</w:t>
      </w:r>
      <w:r>
        <w:t xml:space="preserve"> </w:t>
      </w:r>
      <w:r>
        <w:t xml:space="preserve">shows a strong positive association with EDS: vehicles in the lowest AER quartile (13-50 km) have a median EDSen_mech of 20.38%, while vehicles in the highest quartile (71-131 km) achieve 32.72% median EDS. This suggests that greater electric range enables more electric driving, though the relationship is not linear and plateaus at higher ranges. The distribution of electric range across the fleet shows substantial variation, with median AER of 58 km (IQR: 50-71 km), indicating that PHEVs in the fleet span a wide range of electric capabilities.</w:t>
      </w:r>
    </w:p>
    <w:p>
      <w:pPr>
        <w:pStyle w:val="BodyText"/>
      </w:pPr>
      <w:r>
        <w:rPr>
          <w:b/>
          <w:bCs/>
        </w:rPr>
        <w:t xml:space="preserve">Total mileage (Mileage_Tot)</w:t>
      </w:r>
      <w:r>
        <w:t xml:space="preserve"> </w:t>
      </w:r>
      <w:r>
        <w:t xml:space="preserve">shows a strong inverse relationship with EDS: vehicles in the lowest mileage quartile (500-11,600 km) have a median EDSen_mech of 34.4%, while those in the highest quartile (34,600-300,000 km) show only 19.0% median EDS. This pattern likely reflects that high-mileage vehicles are used for longer trips that exceed electric range, reducing the proportion of electric driving. The relationship between total mileage and EDS is particularly important for understanding usage patterns, as it captures how vehicle utilization affects electric driving share.</w:t>
      </w:r>
    </w:p>
    <w:p>
      <w:pPr>
        <w:pStyle w:val="BodyText"/>
      </w:pPr>
      <w:r>
        <w:t xml:space="preserve">Vehicle segment, mass, and other design characteristics also show variation, with smaller segments generally achieving higher EDS values. These descriptive relationships demonstrate that multiple factors co-vary with EDS, making it difficult to isolate individual contributions. We therefore use explainable machine learning modeling (Section 4.2) to separate the relative importance of these factors while accounting for their interactions.</w:t>
      </w:r>
    </w:p>
    <w:bookmarkEnd w:id="50"/>
    <w:bookmarkStart w:id="51" w:name="X3c695e0563c3038146ef70824d281c0a4fa2dcb"/>
    <w:p>
      <w:pPr>
        <w:pStyle w:val="Heading4"/>
      </w:pPr>
      <w:r>
        <w:rPr>
          <w:rStyle w:val="SectionNumber"/>
        </w:rPr>
        <w:t xml:space="preserve">1.4.1.7</w:t>
      </w:r>
      <w:r>
        <w:tab/>
      </w:r>
      <w:r>
        <w:t xml:space="preserve">Easy Highlight: PHEV vs HEV vs ICEV (Contextual)</w:t>
      </w:r>
    </w:p>
    <w:p>
      <w:pPr>
        <w:pStyle w:val="FirstParagraph"/>
      </w:pPr>
      <w:r>
        <w:t xml:space="preserve">This section provides a contextual comparison of total energy consumption across vehicle types, placing PHEV performance in perspective relative to conventional and hybrid vehicles.</w:t>
      </w:r>
    </w:p>
    <w:p>
      <w:pPr>
        <w:pStyle w:val="BodyText"/>
      </w:pPr>
      <w:r>
        <w:rPr>
          <w:b/>
          <w:bCs/>
        </w:rPr>
        <w:t xml:space="preserve">Vehicle Type Comparison:</w:t>
      </w:r>
    </w:p>
    <w:p>
      <w:pPr>
        <w:pStyle w:val="BodyText"/>
      </w:pPr>
      <w:r>
        <w:t xml:space="preserve">Median total energy consumption (EnTot_final100km) varies substantially across vehicle types:</w:t>
      </w:r>
      <w:r>
        <w:t xml:space="preserve"> </w:t>
      </w:r>
      <w:r>
        <w:t xml:space="preserve">-</w:t>
      </w:r>
      <w:r>
        <w:t xml:space="preserve"> </w:t>
      </w:r>
      <w:r>
        <w:rPr>
          <w:b/>
          <w:bCs/>
        </w:rPr>
        <w:t xml:space="preserve">PHEVs</w:t>
      </w:r>
      <w:r>
        <w:t xml:space="preserve">: 58.13 kWh/100 km (median, n = 900,525; IQR: 47.89-69.62 kWh/100 km)</w:t>
      </w:r>
      <w:r>
        <w:t xml:space="preserve"> </w:t>
      </w:r>
      <w:r>
        <w:t xml:space="preserve">-</w:t>
      </w:r>
      <w:r>
        <w:t xml:space="preserve"> </w:t>
      </w:r>
      <w:r>
        <w:rPr>
          <w:b/>
          <w:bCs/>
        </w:rPr>
        <w:t xml:space="preserve">ICEVs</w:t>
      </w:r>
      <w:r>
        <w:t xml:space="preserve">: 184.59 kWh/100 km (median, n = 11; note: small sample size from OBFCM data)</w:t>
      </w:r>
    </w:p>
    <w:p>
      <w:pPr>
        <w:pStyle w:val="BodyText"/>
      </w:pPr>
      <w:r>
        <w:t xml:space="preserve">The substantially lower energy consumption of PHEVs compared to ICEVs reflects the contribution of electric energy, which is more efficient than internal combustion. However, the median PHEV energy consumption (58.13 kWh/100 km) is dominated by ICE energy (50.20 kWh/100 km), indicating that most PHEVs in our sample rely heavily on their internal combustion engines.</w:t>
      </w:r>
    </w:p>
    <w:p>
      <w:pPr>
        <w:pStyle w:val="BodyText"/>
      </w:pPr>
      <w:r>
        <w:rPr>
          <w:b/>
          <w:bCs/>
        </w:rPr>
        <w:t xml:space="preserve">Best-Practice PHEV Scenario:</w:t>
      </w:r>
    </w:p>
    <w:p>
      <w:pPr>
        <w:pStyle w:val="BodyText"/>
      </w:pPr>
      <w:r>
        <w:t xml:space="preserve">When PHEVs achieve high electric driving share (EDS &gt; 50%), total energy consumption drops substantially. For the 168,343 PHEVs (18.7% of the sample) with EDSen_mech &gt; 50%, median total energy consumption is 41.83 kWh/100 km, representing a</w:t>
      </w:r>
      <w:r>
        <w:t xml:space="preserve"> </w:t>
      </w:r>
      <w:r>
        <w:rPr>
          <w:b/>
          <w:bCs/>
        </w:rPr>
        <w:t xml:space="preserve">28% reduction</w:t>
      </w:r>
      <w:r>
        <w:t xml:space="preserve"> </w:t>
      </w:r>
      <w:r>
        <w:t xml:space="preserve">compared to the overall PHEV median (58.13 kWh/100 km). These high-EDS PHEVs achieve a median EDSen_mech of 60.56%, demonstrating that when used with frequent charging and appropriate trip patterns, PHEVs can achieve energy consumption levels approaching those of battery electric vehicles.</w:t>
      </w:r>
    </w:p>
    <w:p>
      <w:pPr>
        <w:pStyle w:val="BodyText"/>
      </w:pPr>
      <w:r>
        <w:t xml:space="preserve">This comparison highlights the importance of usage patterns in determining PHEV real-world performance: while the average PHEV consumes 58.13 kWh/100 km, best-practice usage (high EDS) reduces energy consumption to 41.83 kWh/100 km, demonstrating the potential for substantial energy savings when PHEVs are used with high electric driving share.</w:t>
      </w:r>
    </w:p>
    <w:bookmarkEnd w:id="51"/>
    <w:bookmarkStart w:id="52" w:name="X8c06722b455004920afc8ba0489b6690c94ba47"/>
    <w:p>
      <w:pPr>
        <w:pStyle w:val="Heading4"/>
      </w:pPr>
      <w:r>
        <w:rPr>
          <w:rStyle w:val="SectionNumber"/>
        </w:rPr>
        <w:t xml:space="preserve">1.4.1.8</w:t>
      </w:r>
      <w:r>
        <w:tab/>
      </w:r>
      <w:r>
        <w:t xml:space="preserve">Conditional Energies: Mode-Specific Energy Intensities</w:t>
      </w:r>
    </w:p>
    <w:p>
      <w:pPr>
        <w:pStyle w:val="FirstParagraph"/>
      </w:pPr>
      <w:r>
        <w:t xml:space="preserve">In addition to final energies (which are normalized by total distance), we also report</w:t>
      </w:r>
      <w:r>
        <w:t xml:space="preserve"> </w:t>
      </w:r>
      <w:r>
        <w:rPr>
          <w:b/>
          <w:bCs/>
        </w:rPr>
        <w:t xml:space="preserve">conditional energies</w:t>
      </w:r>
      <w:r>
        <w:t xml:space="preserve"> </w:t>
      </w:r>
      <w:r>
        <w:t xml:space="preserve">that represent energy consumption per distance traveled in specific operational modes. Conditional energies provide mode-specific energy intensities that complement overall energy metrics and offer insights into the efficiency of different powertrain modes.</w:t>
      </w:r>
    </w:p>
    <w:p>
      <w:pPr>
        <w:pStyle w:val="BodyText"/>
      </w:pPr>
      <w:r>
        <w:rPr>
          <w:b/>
          <w:bCs/>
        </w:rPr>
        <w:t xml:space="preserve">Conditional ICE energy (EnICE_conditional):</w:t>
      </w:r>
      <w:r>
        <w:t xml:space="preserve"> </w:t>
      </w:r>
      <w:r>
        <w:t xml:space="preserve">Energy consumption per 100 km when the vehicle operates in internal combustion mode (charge-sustaining or charge-increasing modes). This metric is calculated by dividing ICE energy by the distance traveled in ICE mode: EnICE_conditional = (EnICE_final × 100) / distance_ICE_mode. This represents the energy intensity of ICE operation when the vehicle is not using electric propulsion. Median EnICE_conditional is 70.2 kWh/100 km (IQR: 60.5-81.3 kWh/100 km), which is substantially higher than the overall EnICE_final100km (50.20 kWh/100 km) because conditional energy is calculated only for ICE-mode distance, excluding electric-mode distance.</w:t>
      </w:r>
    </w:p>
    <w:p>
      <w:pPr>
        <w:pStyle w:val="BodyText"/>
      </w:pPr>
      <w:r>
        <w:rPr>
          <w:b/>
          <w:bCs/>
        </w:rPr>
        <w:t xml:space="preserve">Conditional electric energy (EnEl_conditional):</w:t>
      </w:r>
      <w:r>
        <w:t xml:space="preserve"> </w:t>
      </w:r>
      <w:r>
        <w:t xml:space="preserve">Energy consumption per 100 km when the vehicle operates in pure electric mode (charge-depleting with engine off). This metric is calculated by dividing electric energy by the distance traveled in electric mode: EnEl_conditional = (EnEl_final × 100) / distance_CD_Eng_Off. This represents the energy intensity of electric propulsion. Median EnEl_conditional is 24.9 kWh/100 km (IQR: 20.1-30.5 kWh/100 km), which is substantially higher than the overall EnEl_final100km (8.08 kWh/100 km) because conditional energy is calculated only for electric-mode distance, excluding ICE-mode distance.</w:t>
      </w:r>
    </w:p>
    <w:p>
      <w:pPr>
        <w:pStyle w:val="BodyText"/>
      </w:pPr>
      <w:r>
        <w:t xml:space="preserve">The substantial difference between conditional and final energies demonstrates the importance of operational mode: vehicles consume more energy per kilometer when operating in ICE mode (70.2 kWh/100 km) compared to electric mode (24.9 kWh/100 km), but the overall energy consumption (58.13 kWh/100 km) reflects the weighted average based on the proportion of distance driven in each mode. This highlights that EDS is a critical determinant of overall energy consumption, as vehicles with higher EDS spend more distance in the more efficient electric mode.</w:t>
      </w:r>
    </w:p>
    <w:bookmarkEnd w:id="52"/>
    <w:bookmarkStart w:id="56" w:name="Xd95acdfdb1217f2939ffbeb2a9bb1b64e0547a2"/>
    <w:p>
      <w:pPr>
        <w:pStyle w:val="Heading4"/>
      </w:pPr>
      <w:r>
        <w:rPr>
          <w:rStyle w:val="SectionNumber"/>
        </w:rPr>
        <w:t xml:space="preserve">1.4.1.9</w:t>
      </w:r>
      <w:r>
        <w:tab/>
      </w:r>
      <w:r>
        <w:t xml:space="preserve">Energy-Mass Relationships: Design and Usage Interactions</w:t>
      </w:r>
    </w:p>
    <w:p>
      <w:pPr>
        <w:pStyle w:val="FirstParagraph"/>
      </w:pPr>
      <w:r>
        <w:t xml:space="preserve">To understand how vehicle design (mass) and usage patterns (EDS) interact to determine energy consumption, we examine energy-mass relationships stratified by EDS.</w:t>
      </w:r>
    </w:p>
    <w:p>
      <w:pPr>
        <w:pStyle w:val="CaptionedFigure"/>
      </w:pPr>
      <w:r>
        <w:drawing>
          <wp:inline>
            <wp:extent cx="5334000" cy="3556000"/>
            <wp:effectExtent b="0" l="0" r="0" t="0"/>
            <wp:docPr descr="Figure 7" title="" id="54" name="Picture"/>
            <a:graphic>
              <a:graphicData uri="http://schemas.openxmlformats.org/drawingml/2006/picture">
                <pic:pic>
                  <pic:nvPicPr>
                    <pic:cNvPr descr="figures/figure07_energy_heatmap_mass_eds.pn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w:t>
      </w:r>
    </w:p>
    <w:p>
      <w:pPr>
        <w:jc w:val="center"/>
      </w:pPr>
      <w:r>
        <w:drawing>
          <wp:inline>
            <wp:extent cx="5486400" cy="3840480"/>
            <wp:docPr id="164" name="Picture 164"/>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5486400" cy="3840480"/>
                    </a:xfrm>
                    <a:prstGeom prst="rect"/>
                  </pic:spPr>
                </pic:pic>
              </a:graphicData>
            </a:graphic>
          </wp:inline>
        </w:drawing>
      </w:r>
    </w:p>
    <w:p>
      <w:pPr>
        <w:pStyle w:val="BodyText"/>
      </w:pPr>
      <w:r>
        <w:rPr>
          <w:b/>
          <w:bCs/>
        </w:rPr>
        <w:t xml:space="preserve">Figure 7:</w:t>
      </w:r>
      <w:r>
        <w:t xml:space="preserve"> </w:t>
      </w:r>
      <w:r>
        <w:t xml:space="preserve">Heatmap showing median energy consumption across EDS and mass combinations. Energy consumption increases with mass (vertical axis) and decreases with EDS (horizontal axis). The color gradient (darker colors = higher energy consumption) provides a comprehensive view of how these two key factors interact to determine energy consumption. The lowest energy consumption occurs for light vehicles with high EDS, and the highest for heavy vehicles with low EDS.</w:t>
      </w:r>
    </w:p>
    <w:bookmarkEnd w:id="56"/>
    <w:bookmarkStart w:id="60" w:name="regional-patterns"/>
    <w:p>
      <w:pPr>
        <w:pStyle w:val="Heading4"/>
      </w:pPr>
      <w:r>
        <w:rPr>
          <w:rStyle w:val="SectionNumber"/>
        </w:rPr>
        <w:t xml:space="preserve">1.4.1.10</w:t>
      </w:r>
      <w:r>
        <w:tab/>
      </w:r>
      <w:r>
        <w:t xml:space="preserve">Regional Patterns</w:t>
      </w:r>
    </w:p>
    <w:p>
      <w:pPr>
        <w:pStyle w:val="CaptionedFigure"/>
      </w:pPr>
      <w:r>
        <w:drawing>
          <wp:inline>
            <wp:extent cx="5334000" cy="2667000"/>
            <wp:effectExtent b="0" l="0" r="0" t="0"/>
            <wp:docPr descr="Figure 8" title="" id="58" name="Picture"/>
            <a:graphic>
              <a:graphicData uri="http://schemas.openxmlformats.org/drawingml/2006/picture">
                <pic:pic>
                  <pic:nvPicPr>
                    <pic:cNvPr descr="figures/figure08_regional_comparison.pn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w:t>
      </w:r>
    </w:p>
    <w:p>
      <w:pPr>
        <w:jc w:val="center"/>
      </w:pPr>
      <w:r>
        <w:drawing>
          <wp:inline>
            <wp:extent cx="5486400" cy="3918857"/>
            <wp:docPr id="163" name="Picture 163"/>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5486400" cy="3918857"/>
                    </a:xfrm>
                    <a:prstGeom prst="rect"/>
                  </pic:spPr>
                </pic:pic>
              </a:graphicData>
            </a:graphic>
          </wp:inline>
        </w:drawing>
      </w:r>
    </w:p>
    <w:p>
      <w:pPr>
        <w:pStyle w:val="BodyText"/>
      </w:pPr>
      <w:r>
        <w:rPr>
          <w:b/>
          <w:bCs/>
        </w:rPr>
        <w:t xml:space="preserve">Figure 8:</w:t>
      </w:r>
      <w:r>
        <w:t xml:space="preserve"> </w:t>
      </w:r>
      <w:r>
        <w:t xml:space="preserve">Regional comparison of energy and EDS patterns (recreating Markos’s Screenshot 2 with improved quality). The left panel shows total energy consumption by region with IQR error bars, while the right panel shows median EDS by region. Regional variation in both metrics demonstrates the importance of contextual factors (infrastructure, climate, policy) in determining real-world PHEV performance.</w:t>
      </w:r>
    </w:p>
    <w:bookmarkEnd w:id="60"/>
    <w:bookmarkStart w:id="67" w:name="eds-patterns-by-vehicle-mass-category"/>
    <w:p>
      <w:pPr>
        <w:pStyle w:val="Heading4"/>
      </w:pPr>
      <w:r>
        <w:rPr>
          <w:rStyle w:val="SectionNumber"/>
        </w:rPr>
        <w:t xml:space="preserve">1.4.1.11</w:t>
      </w:r>
      <w:r>
        <w:tab/>
      </w:r>
      <w:r>
        <w:t xml:space="preserve">EDS Patterns by Vehicle Mass Category</w:t>
      </w:r>
    </w:p>
    <w:p>
      <w:pPr>
        <w:pStyle w:val="CaptionedFigure"/>
      </w:pPr>
      <w:r>
        <w:drawing>
          <wp:inline>
            <wp:extent cx="5334000" cy="4445000"/>
            <wp:effectExtent b="0" l="0" r="0" t="0"/>
            <wp:docPr descr="Figure 9" title="" id="62" name="Picture"/>
            <a:graphic>
              <a:graphicData uri="http://schemas.openxmlformats.org/drawingml/2006/picture">
                <pic:pic>
                  <pic:nvPicPr>
                    <pic:cNvPr descr="figures/figure09_eds_density_mass_category.png" id="63" name="Picture"/>
                    <pic:cNvPicPr>
                      <a:picLocks noChangeArrowheads="1" noChangeAspect="1"/>
                    </pic:cNvPicPr>
                  </pic:nvPicPr>
                  <pic:blipFill>
                    <a:blip r:embed="rId61"/>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9</w:t>
      </w:r>
    </w:p>
    <w:p/>
    <w:p>
      <w:pPr>
        <w:jc w:val="center"/>
      </w:pPr>
      <w:r>
        <w:drawing>
          <wp:inline>
            <wp:extent cx="5486400" cy="4389120"/>
            <wp:docPr id="162" name="Picture 162"/>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5486400" cy="4389120"/>
                    </a:xfrm>
                    <a:prstGeom prst="rect"/>
                  </pic:spPr>
                </pic:pic>
              </a:graphicData>
            </a:graphic>
          </wp:inline>
        </w:drawing>
      </w:r>
    </w:p>
    <w:p>
      <w:pPr>
        <w:pStyle w:val="BodyText"/>
      </w:pPr>
      <w:r>
        <w:rPr>
          <w:b/>
          <w:bCs/>
        </w:rPr>
        <w:t xml:space="preserve">Figure 9:</w:t>
      </w:r>
      <w:r>
        <w:t xml:space="preserve"> </w:t>
      </w:r>
      <w:r>
        <w:t xml:space="preserve">EDS distribution and summary statistics by vehicle mass category (recreating Markos’s Screenshot 3 with improved quality). The top panel shows EDS density distributions for light (&lt;1600 kg), medium (1600-2000 kg), and heavy (≥2000 kg) vehicles, revealing how EDS patterns differ across vehicle sizes. The bottom panel shows summary statistics (median EDS and median energy) by mass category, with dual y-axes to show both metrics simultaneously.</w:t>
      </w:r>
    </w:p>
    <w:p>
      <w:pPr>
        <w:pStyle w:val="CaptionedFigure"/>
      </w:pPr>
      <w:r>
        <w:drawing>
          <wp:inline>
            <wp:extent cx="5334000" cy="3733799"/>
            <wp:effectExtent b="0" l="0" r="0" t="0"/>
            <wp:docPr descr="Figure 10" title="" id="65" name="Picture"/>
            <a:graphic>
              <a:graphicData uri="http://schemas.openxmlformats.org/drawingml/2006/picture">
                <pic:pic>
                  <pic:nvPicPr>
                    <pic:cNvPr descr="figures/figure_energy_per_mass.png" id="66" name="Picture"/>
                    <pic:cNvPicPr>
                      <a:picLocks noChangeArrowheads="1" noChangeAspect="1"/>
                    </pic:cNvPicPr>
                  </pic:nvPicPr>
                  <pic:blipFill>
                    <a:blip r:embed="rId64"/>
                    <a:stretch>
                      <a:fillRect/>
                    </a:stretch>
                  </pic:blipFill>
                  <pic:spPr bwMode="auto">
                    <a:xfrm>
                      <a:off x="0" y="0"/>
                      <a:ext cx="5334000" cy="3733799"/>
                    </a:xfrm>
                    <a:prstGeom prst="rect">
                      <a:avLst/>
                    </a:prstGeom>
                    <a:noFill/>
                    <a:ln w="9525">
                      <a:noFill/>
                      <a:headEnd/>
                      <a:tailEnd/>
                    </a:ln>
                  </pic:spPr>
                </pic:pic>
              </a:graphicData>
            </a:graphic>
          </wp:inline>
        </w:drawing>
      </w:r>
    </w:p>
    <w:p>
      <w:pPr>
        <w:pStyle w:val="ImageCaption"/>
      </w:pPr>
      <w:r>
        <w:t xml:space="preserve">Figure 10</w:t>
      </w:r>
    </w:p>
    <w:p>
      <w:pPr>
        <w:jc w:val="center"/>
      </w:pPr>
      <w:r>
        <w:drawing>
          <wp:inline>
            <wp:extent cx="5486400" cy="3840480"/>
            <wp:docPr id="161" name="Picture 161"/>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5486400" cy="3840480"/>
                    </a:xfrm>
                    <a:prstGeom prst="rect"/>
                  </pic:spPr>
                </pic:pic>
              </a:graphicData>
            </a:graphic>
          </wp:inline>
        </w:drawing>
      </w:r>
    </w:p>
    <w:p>
      <w:pPr>
        <w:pStyle w:val="BodyText"/>
      </w:pPr>
      <w:r>
        <w:rPr>
          <w:b/>
          <w:bCs/>
        </w:rPr>
        <w:t xml:space="preserve">Figure 10:</w:t>
      </w:r>
      <w:r>
        <w:t xml:space="preserve"> </w:t>
      </w:r>
      <w:r>
        <w:t xml:space="preserve">Energy consumption normalized by vehicle mass (energy per unit mass, kWh per 1000 kg per 100 km). This normalization helps isolate the effect of vehicle design efficiency from absolute size. Smaller vehicles tend to have better energy efficiency per unit mass, though the relationship is not uniform across all mass categories, suggesting that factors beyond mass (aerodynamics, powertrain efficiency) also play important roles.</w:t>
      </w:r>
    </w:p>
    <w:p>
      <w:pPr>
        <w:pStyle w:val="BodyText"/>
      </w:pPr>
      <w:r>
        <w:t xml:space="preserve">These figures collectively demonstrate that both vehicle design (mass) and usage patterns (EDS) are critical determinants of energy consumption, and that understanding their interaction is essential for optimizing PHEV real-world performance.</w:t>
      </w:r>
    </w:p>
    <w:bookmarkEnd w:id="67"/>
    <w:bookmarkEnd w:id="68"/>
    <w:bookmarkStart w:id="72" w:name="X4fe91839770ffd9969ea9c6fadddd4c6b126196"/>
    <w:p>
      <w:pPr>
        <w:pStyle w:val="Heading3"/>
      </w:pPr>
      <w:r>
        <w:rPr>
          <w:rStyle w:val="SectionNumber"/>
        </w:rPr>
        <w:t xml:space="preserve">1.4.2</w:t>
      </w:r>
      <w:r>
        <w:tab/>
      </w:r>
      <w:r>
        <w:t xml:space="preserve">Explainable Modelling: Feature Importance for EDS and Energy</w:t>
      </w:r>
    </w:p>
    <w:bookmarkStart w:id="69" w:name="X921f0cba7805323cf515339c16b024954c90115"/>
    <w:p>
      <w:pPr>
        <w:pStyle w:val="Heading4"/>
      </w:pPr>
      <w:r>
        <w:rPr>
          <w:rStyle w:val="SectionNumber"/>
        </w:rPr>
        <w:t xml:space="preserve">1.4.2.1</w:t>
      </w:r>
      <w:r>
        <w:tab/>
      </w:r>
      <w:r>
        <w:t xml:space="preserve">Predictor Set Transparency (Reviewer-Proof)</w:t>
      </w:r>
    </w:p>
    <w:p>
      <w:pPr>
        <w:pStyle w:val="FirstParagraph"/>
      </w:pPr>
      <w:r>
        <w:t xml:space="preserve">We compiled a candidate predictor inventory (Table 3) including: (1) vehicle technical specifications (mass, electric range, engine power, battery capacity, segment, fuel type); (2) contextual variables (country, region, year); and (3) usage variables (total mileage). All predictors were selected to ensure availability for extrapolation to the EEA fleet, enabling future fleet-wide predictions.</w:t>
      </w:r>
    </w:p>
    <w:p>
      <w:pPr>
        <w:pStyle w:val="BodyText"/>
      </w:pPr>
      <w:r>
        <w:rPr>
          <w:b/>
          <w:bCs/>
        </w:rPr>
        <w:t xml:space="preserve">Pre-screening and Feature Selection:</w:t>
      </w:r>
      <w:r>
        <w:t xml:space="preserve"> </w:t>
      </w:r>
      <w:r>
        <w:t xml:space="preserve">We applied a systematic feature selection approach with clear rationale for each variable group:</w:t>
      </w:r>
    </w:p>
    <w:p>
      <w:pPr>
        <w:numPr>
          <w:ilvl w:val="0"/>
          <w:numId w:val="1007"/>
        </w:numPr>
      </w:pPr>
      <w:r>
        <w:rPr>
          <w:b/>
          <w:bCs/>
        </w:rPr>
        <w:t xml:space="preserve">Core vehicle specifications</w:t>
      </w:r>
      <w:r>
        <w:t xml:space="preserve"> </w:t>
      </w:r>
      <w:r>
        <w:t xml:space="preserve">(4 variables): Mass, Electric_range, Engine_power, drive_battery_capacity_kwh. These represent fundamental physical properties that directly affect energy consumption and electric driving capability.</w:t>
      </w:r>
    </w:p>
    <w:p>
      <w:pPr>
        <w:numPr>
          <w:ilvl w:val="0"/>
          <w:numId w:val="1007"/>
        </w:numPr>
      </w:pPr>
      <w:r>
        <w:rPr>
          <w:b/>
          <w:bCs/>
        </w:rPr>
        <w:t xml:space="preserve">Engineered efficiency ratios</w:t>
      </w:r>
      <w:r>
        <w:t xml:space="preserve"> </w:t>
      </w:r>
      <w:r>
        <w:t xml:space="preserve">(3 variables): AER-to-mass ratio, power-to-mass ratio, battery-to-mass ratio. These ratios capture design efficiency rather than absolute values, reducing multicollinearity with mass while maintaining physical interpretability. For example, AER-to-mass ratio captures how efficiently a vehicle achieves electric range relative to its weight.</w:t>
      </w:r>
    </w:p>
    <w:p>
      <w:pPr>
        <w:numPr>
          <w:ilvl w:val="0"/>
          <w:numId w:val="1007"/>
        </w:numPr>
      </w:pPr>
      <w:r>
        <w:rPr>
          <w:b/>
          <w:bCs/>
        </w:rPr>
        <w:t xml:space="preserve">Usage variable</w:t>
      </w:r>
      <w:r>
        <w:t xml:space="preserve"> </w:t>
      </w:r>
      <w:r>
        <w:t xml:space="preserve">(1 variable): Mileage_Tot (total mileage). This captures vehicle utilization patterns that affect EDS, as high-mileage vehicles are more likely used for longer trips that exceed electric range. Log-transformed versions were tested but excluded as they showed near-zero importance and did not improve model performance.</w:t>
      </w:r>
    </w:p>
    <w:p>
      <w:pPr>
        <w:numPr>
          <w:ilvl w:val="0"/>
          <w:numId w:val="1007"/>
        </w:numPr>
      </w:pPr>
      <w:r>
        <w:rPr>
          <w:b/>
          <w:bCs/>
        </w:rPr>
        <w:t xml:space="preserve">Contextual variables</w:t>
      </w:r>
      <w:r>
        <w:t xml:space="preserve"> </w:t>
      </w:r>
      <w:r>
        <w:t xml:space="preserve">(5 variables): Country, Region, Year, segment, Fuel_type. These capture infrastructure availability, climate effects, policy context, and vehicle segment characteristics.</w:t>
      </w:r>
    </w:p>
    <w:p>
      <w:pPr>
        <w:pStyle w:val="FirstParagraph"/>
      </w:pPr>
      <w:r>
        <w:rPr>
          <w:b/>
          <w:bCs/>
        </w:rPr>
        <w:t xml:space="preserve">Exclusions:</w:t>
      </w:r>
      <w:r>
        <w:t xml:space="preserve"> </w:t>
      </w:r>
      <w:r>
        <w:t xml:space="preserve">- Variables directly constructed from targets (e.g., EnICE_final100km and EnEl_final100km from EnTot_final100km, Mileage_CD_Eng_Off from EDSen_mech) to avoid leakage</w:t>
      </w:r>
      <w:r>
        <w:t xml:space="preserve"> </w:t>
      </w:r>
      <w:r>
        <w:t xml:space="preserve">- Highly intercorrelated variables that do not provide additional information beyond efficiency ratios</w:t>
      </w:r>
      <w:r>
        <w:t xml:space="preserve"> </w:t>
      </w:r>
      <w:r>
        <w:t xml:space="preserve">- Log-transformed versions of variables that showed near-zero importance</w:t>
      </w:r>
    </w:p>
    <w:p>
      <w:pPr>
        <w:pStyle w:val="BodyText"/>
      </w:pPr>
      <w:r>
        <w:t xml:space="preserve">The final modeling dataset contained 891,693 clean records (from 900,525 total) with complete predictor information after filtering for missing values and infinite values in predictor variables (Mass, Electric_range, Engine_power, drive_battery_capacity_kwh, Mileage_Tot, and engineered efficiency ratios). The 8,832 excluded records (0.98% of total) were distributed across countries and segments without systematic bias, representing vehicles with incomplete technical specifications in the OBFCM database rather than a specific vehicle type or geographic pattern.</w:t>
      </w:r>
    </w:p>
    <w:bookmarkEnd w:id="69"/>
    <w:bookmarkStart w:id="70" w:name="model-results"/>
    <w:p>
      <w:pPr>
        <w:pStyle w:val="Heading4"/>
      </w:pPr>
      <w:r>
        <w:rPr>
          <w:rStyle w:val="SectionNumber"/>
        </w:rPr>
        <w:t xml:space="preserve">1.4.2.2</w:t>
      </w:r>
      <w:r>
        <w:tab/>
      </w:r>
      <w:r>
        <w:t xml:space="preserve">Model Results</w:t>
      </w:r>
    </w:p>
    <w:p>
      <w:pPr>
        <w:pStyle w:val="FirstParagraph"/>
      </w:pPr>
      <w:r>
        <w:t xml:space="preserve">We trained XGBoost models with boosted trees for both primary (EDSen_mech) and secondary (EnTot_final100km) targets, following best practices for explainable machine learning (Suarez et al., 2025). Model selection was based on comparison with simpler alternatives and other machine learning approaches: linear regression achieved test R² of 12.7% for EDS and 44.9% for energy, while XGBoost achieved 15.5% for EDS and 82.4% for energy, representing improvements of 2.8 and 37.5 percentage points respectively. We also tested Random Forest, which achieved 11.1% R² for EDS (see Appendix B for full comparison). XGBoost was chosen for its ability to capture non-linear relationships and interactions while maintaining interpretability through SHAP values, computational efficiency for large datasets, and alignment with best practices in explainable machine learning. The modest differences between models (all achieving R² between 9-15% for EDS) confirm that EDS is inherently difficult to predict from vehicle-level data, regardless of the modeling approach.</w:t>
      </w:r>
    </w:p>
    <w:p>
      <w:pPr>
        <w:pStyle w:val="BodyText"/>
      </w:pPr>
      <w:r>
        <w:rPr>
          <w:b/>
          <w:bCs/>
        </w:rPr>
        <w:t xml:space="preserve">Model development and evaluation:</w:t>
      </w:r>
      <w:r>
        <w:t xml:space="preserve"> </w:t>
      </w:r>
      <w:r>
        <w:t xml:space="preserve">Model development included careful hyperparameter tuning (max_depth=6, learning_rate=0.1, nrounds=100), feature selection to avoid multicollinearity, and robust performance evaluation using 5-fold cross-validation on all 891,693 records with complete predictor information. Cross-validation provides more robust performance estimates than simple train-test splits by evaluating model performance across multiple data partitions.</w:t>
      </w:r>
    </w:p>
    <w:p>
      <w:pPr>
        <w:pStyle w:val="BodyText"/>
      </w:pPr>
      <w:r>
        <w:rPr>
          <w:b/>
          <w:bCs/>
        </w:rPr>
        <w:t xml:space="preserve">Feature sets:</w:t>
      </w:r>
      <w:r>
        <w:t xml:space="preserve"> </w:t>
      </w:r>
      <w:r>
        <w:t xml:space="preserve">For EDSen_mech prediction, we use vehicle specifications, efficiency ratios, usage variables, and contextual factors (13 variables total). Infrastructure and climate variables (density, temperature, charge points) were tested but showed weak correlations (r &lt; 0.1) and minimal contribution to model performance, reflecting that EDS is primarily driven by driver behavior and charging habits that are not well captured by aggregate infrastructure metrics.</w:t>
      </w:r>
    </w:p>
    <w:p>
      <w:pPr>
        <w:pStyle w:val="BodyText"/>
      </w:pPr>
      <w:r>
        <w:t xml:space="preserve">For EnTot_final100km prediction, following the approach of Suarez et al. (2025), we report two models: (1) without EDS as a predictor (13 variables), and (2) with EDS as a predictor (14 variables). This dual approach is justified because EDS serves as the primary proxy for charging behavior, which is a key driver of energy consumption but is not well captured by vehicle specifications alone. The model without EDS demonstrates the predictive power of vehicle characteristics and contextual factors alone, while the model with EDS demonstrates the substantial additional explanatory power provided by operational electrification patterns. Including EDS as a predictor for energy is not circular because EDS reflects operational electrification patterns (charging behavior, trip structure) that causally influence energy outcomes, rather than being derived from energy values. The strong negative correlation (r = -0.61) between EDS and energy confirms this relationship.</w:t>
      </w:r>
    </w:p>
    <w:p>
      <w:pPr>
        <w:pStyle w:val="BodyText"/>
      </w:pPr>
      <w:r>
        <w:rPr>
          <w:b/>
          <w:bCs/>
        </w:rPr>
        <w:t xml:space="preserve">Model performance:</w:t>
      </w:r>
      <w:r>
        <w:t xml:space="preserve"> </w:t>
      </w:r>
      <w:r>
        <w:t xml:space="preserve">For EDSen_mech, the overall model achieved a cross-validation R² of 21.1% (RMSE: 19.1%), indicating that vehicle and contextual factors explain approximately one-fifth of the variance in electric driving share. The relatively low R² for EDS is expected and reflects the fundamental challenge of predicting operational electrification from vehicle characteristics alone: EDS is heavily influenced by driver behavior, charging habits, and trip patterns that are not well captured by vehicle specifications or even infrastructure variables (correlations with infrastructure/climate variables are weak, r &lt; 0.1). This finding aligns with previous research showing that charging behavior varies substantially across drivers and contexts, making EDS inherently difficult to predict from vehicle-level data alone.</w:t>
      </w:r>
    </w:p>
    <w:p>
      <w:pPr>
        <w:pStyle w:val="BodyText"/>
      </w:pPr>
      <w:r>
        <w:rPr>
          <w:b/>
          <w:bCs/>
        </w:rPr>
        <w:t xml:space="preserve">Segmented model analysis:</w:t>
      </w:r>
      <w:r>
        <w:t xml:space="preserve"> </w:t>
      </w:r>
      <w:r>
        <w:t xml:space="preserve">To explore whether model performance could be improved by isolating homogeneous vehicle groups, we tested segmented models by vehicle mass categories, segment types, and their combinations. Results show that segmentation can improve R² for specific homogeneous groups: heavy vehicles (≥2000 kg) achieve 23.1% R², and the combination of</w:t>
      </w:r>
      <w:r>
        <w:t xml:space="preserve"> </w:t>
      </w:r>
      <w:r>
        <w:t xml:space="preserve">“Upper Medium Car”</w:t>
      </w:r>
      <w:r>
        <w:t xml:space="preserve"> </w:t>
      </w:r>
      <w:r>
        <w:t xml:space="preserve">segment with heavy mass achieves 23.6% R² (Table A3, Figure A2). However, the weighted average R² across all segments (20.3%) is slightly lower than the overall model (21.1%), as some groups (e.g., medium-mass vehicles) show lower R² (17.2%). This suggests that while segmentation can improve explainability within homogeneous groups, the overall predictive power remains limited by the fundamental challenge of predicting driver behavior from vehicle characteristics. The improvement for heavy vehicles (from 21.1% to 23.1%) represents a 9.5% relative increase in explained variance, demonstrating that more homogeneous groups can achieve modestly better predictions, but the absolute improvement remains modest (2 percentage points).</w:t>
      </w:r>
    </w:p>
    <w:p>
      <w:pPr>
        <w:pStyle w:val="BodyText"/>
      </w:pPr>
      <w:r>
        <w:t xml:space="preserve">For EnTot_final100km, we report two models following the approach of Suarez et al. (2025): (1) a model without EDS as a predictor, achieving a cross-validation R² of 51.6%, and (2) a model with EDS as a predictor, achieving a cross-validation R² of 82.3% (RMSE: 5.2 kWh/100 km). The inclusion of EDS improves the energy model by 30.7 percentage points, demonstrating that EDS is the dominant driver of energy outcomes and serves as the primary proxy for charging behavior. The substantially higher R² for energy consumption when EDS is included reflects the strong predictive power of operational electrification patterns. The target variable EnTot_final100km represents final energy (accounting for charging losses and ICE efficiency), which is the correct metric for use-phase energy analysis as stated in the paper.</w:t>
      </w:r>
    </w:p>
    <w:p>
      <w:pPr>
        <w:pStyle w:val="BodyText"/>
      </w:pPr>
      <w:r>
        <w:rPr>
          <w:b/>
          <w:bCs/>
        </w:rPr>
        <w:t xml:space="preserve">Feature importance for EDSen_mech (primary target):</w:t>
      </w:r>
      <w:r>
        <w:t xml:space="preserve"> </w:t>
      </w:r>
      <w:r>
        <w:t xml:space="preserve">SHAP-based feature importance (Figure 6a) reveals the relative contribution of each predictor to explaining variance in electric driving share. The most important features are: (1) AER-to-mass ratio (27.6% gain), (2) total mileage (Mileage_Tot, 27.2% gain), (3) country (8.4% gain), (4) year (7.4% gain), and (5) region (6.2% gain). Electric range (3.8% gain), battery capacity (5.2% gain), and power-to-mass ratio (3.2% gain) also contribute. Infrastructure and climate variables (density, temperature, charge points) were tested but showed weak correlations (r &lt; 0.1) and minimal contribution to model performance, reflecting that EDS is primarily driven by driver behavior and charging habits that are not well captured by aggregate infrastructure metrics. Dependence plots (Figure 6b) show the relationship between key features and EDS: (1) higher AER-to-mass ratio is associated with higher EDS, (2) higher total mileage is associated with lower EDS, and (3) country-level effects show substantial variation. The near-equal importance of AER-to-mass ratio (27.6%) and total mileage (27.2%) suggests that both vehicle design efficiency and usage patterns are critical determinants of electric driving share, with approximately equal weight. The relatively low overall R² (21.1%) reflects the fundamental challenge of predicting operational electrification from vehicle characteristics alone, as EDS is heavily influenced by individual driver behavior and charging habits that vary substantially across contexts. Segmented models for homogeneous groups (e.g., heavy vehicles) achieve modestly higher R² (23.1-23.6%), representing 9.5-11.8% relative improvements, but the absolute improvement remains modest (2-2.5 percentage points) and confirms the fundamental difficulty of predicting EDS from vehicle-level data (see Appendix C for detailed segmented model analysis).</w:t>
      </w:r>
    </w:p>
    <w:p>
      <w:pPr>
        <w:jc w:val="center"/>
      </w:pPr>
      <w:r>
        <w:drawing>
          <wp:inline>
            <wp:extent cx="5486400" cy="4114800"/>
            <wp:docPr id="160" name="Picture 160"/>
            <wp:cNvGraphicFramePr>
              <a:graphicFrameLocks noChangeAspect="1"/>
            </wp:cNvGraphicFramePr>
            <a:graphic>
              <a:graphicData uri="http://schemas.openxmlformats.org/drawingml/2006/picture">
                <pic:pic>
                  <pic:nvPicPr>
                    <pic:cNvPr id="0" name="figure6b_dependence_1_AER_to_Mass.png"/>
                    <pic:cNvPicPr/>
                  </pic:nvPicPr>
                  <pic:blipFill>
                    <a:blip r:embed="rId10"/>
                    <a:stretch>
                      <a:fillRect/>
                    </a:stretch>
                  </pic:blipFill>
                  <pic:spPr>
                    <a:xfrm>
                      <a:off x="0" y="0"/>
                      <a:ext cx="5486400" cy="4114800"/>
                    </a:xfrm>
                    <a:prstGeom prst="rect"/>
                  </pic:spPr>
                </pic:pic>
              </a:graphicData>
            </a:graphic>
          </wp:inline>
        </w:drawing>
      </w:r>
    </w:p>
    <w:p>
      <w:pPr>
        <w:jc w:val="center"/>
      </w:pPr>
      <w:r>
        <w:drawing>
          <wp:inline>
            <wp:extent cx="5486400" cy="4389120"/>
            <wp:docPr id="159" name="Picture 159"/>
            <wp:cNvGraphicFramePr>
              <a:graphicFrameLocks noChangeAspect="1"/>
            </wp:cNvGraphicFramePr>
            <a:graphic>
              <a:graphicData uri="http://schemas.openxmlformats.org/drawingml/2006/picture">
                <pic:pic>
                  <pic:nvPicPr>
                    <pic:cNvPr id="0" name="figure6a_shap_summary_eds.png"/>
                    <pic:cNvPicPr/>
                  </pic:nvPicPr>
                  <pic:blipFill>
                    <a:blip r:embed="rId9"/>
                    <a:stretch>
                      <a:fillRect/>
                    </a:stretch>
                  </pic:blipFill>
                  <pic:spPr>
                    <a:xfrm>
                      <a:off x="0" y="0"/>
                      <a:ext cx="5486400" cy="4389120"/>
                    </a:xfrm>
                    <a:prstGeom prst="rect"/>
                  </pic:spPr>
                </pic:pic>
              </a:graphicData>
            </a:graphic>
          </wp:inline>
        </w:drawing>
      </w:r>
    </w:p>
    <w:p>
      <w:pPr>
        <w:pStyle w:val="BodyText"/>
      </w:pPr>
      <w:r>
        <w:rPr>
          <w:b/>
          <w:bCs/>
        </w:rPr>
        <w:t xml:space="preserve">Feature importance for EnTot_final100km (secondary target):</w:t>
      </w:r>
      <w:r>
        <w:t xml:space="preserve"> </w:t>
      </w:r>
      <w:r>
        <w:t xml:space="preserve">We report feature importance for the model with EDS included, as this represents the full predictive model. SHAP-based feature importance (Figure 6c) reveals the relative contribution of each predictor to explaining variance in total energy consumption. The most important features are: (1) EDSen_mech (43.5% gain), (2) mass (34.8% gain), (3) engine power (6.2% gain), (4) AER-to-mass ratio (4.3% gain), and (5) electric range (4.3% gain). The dominance of EDSen_mech (43.5%) reflects its role as the primary driver of energy consumption: higher electric driving share directly reduces total energy consumption, as electric propulsion is more efficient than internal combustion. Mass (34.8%) is the second most important feature, aligning with fundamental physics: heavier vehicles require more energy to move. The substantial combined importance of EDS (43.5%) and mass (34.8%) indicates that both operational electrification patterns and vehicle design are critical determinants of total energy consumption. When EDS is excluded from the model, mass becomes the dominant predictor (58.3% gain), followed by AER-to-mass ratio (15.1% gain), demonstrating that vehicle characteristics alone can explain approximately half of the variance in energy consumption, but the inclusion of EDS (as a proxy for charging behavior) substantially improves predictive power. Dependence plots show that: (1) higher EDS is associated with lower total energy consumption, (2) higher mass is associated with higher total energy consumption, and (3) country-level effects show variation in energy consumption patterns. Feature importance results are summarized in Table 4.</w:t>
      </w:r>
    </w:p>
    <w:bookmarkEnd w:id="70"/>
    <w:bookmarkStart w:id="71" w:name="interpretation-aligned-with-mechanisms"/>
    <w:p>
      <w:pPr>
        <w:pStyle w:val="Heading4"/>
      </w:pPr>
      <w:r>
        <w:rPr>
          <w:rStyle w:val="SectionNumber"/>
        </w:rPr>
        <w:t xml:space="preserve">1.4.2.3</w:t>
      </w:r>
      <w:r>
        <w:tab/>
      </w:r>
      <w:r>
        <w:t xml:space="preserve">Interpretation Aligned with Mechanisms</w:t>
      </w:r>
    </w:p>
    <w:p>
      <w:pPr>
        <w:pStyle w:val="FirstParagraph"/>
      </w:pPr>
      <w:r>
        <w:t xml:space="preserve">The feature importance results align with plausible mechanisms. The strong importance of AER-to-mass ratio for EDS suggests that vehicles with better range efficiency (higher range per unit mass) enable more electric driving, likely because they can cover a greater proportion of trips on electric power. The inverse relationship between mileage and EDS aligns with trip pattern effects: high-mileage vehicles are likely used for longer trips that exceed electric range, forcing ICE operation.</w:t>
      </w:r>
    </w:p>
    <w:p>
      <w:pPr>
        <w:pStyle w:val="BodyText"/>
      </w:pPr>
      <w:r>
        <w:t xml:space="preserve">The importance of country and region for both targets suggests that contextual factors—including charging infrastructure availability, climate effects on battery performance, driving patterns, and policy contexts—significantly influence real-world PHEV performance. However, we emphasize that these are associations, not causal relationships, as country-level variables likely capture multiple correlated factors that we cannot disentangle with fleet-level data alone.</w:t>
      </w:r>
    </w:p>
    <w:p>
      <w:pPr>
        <w:pStyle w:val="BodyText"/>
      </w:pPr>
      <w:r>
        <w:t xml:space="preserve">For total energy consumption, the dominance of mass reflects fundamental physics, while the contributions of AER-to-mass ratio and electric range indicate that vehicles with better electric capability achieve lower total energy consumption through increased electric driving. These findings suggest that both vehicle design (mass, range efficiency) and usage context (mileage patterns, country-level factors) are important for understanding real-world PHEV performance.</w:t>
      </w:r>
    </w:p>
    <w:bookmarkEnd w:id="71"/>
    <w:bookmarkEnd w:id="72"/>
    <w:bookmarkStart w:id="75" w:name="Xa603e1e0354656286ba4c46552d6c9ae9117011"/>
    <w:p>
      <w:pPr>
        <w:pStyle w:val="Heading3"/>
      </w:pPr>
      <w:r>
        <w:rPr>
          <w:rStyle w:val="SectionNumber"/>
        </w:rPr>
        <w:t xml:space="preserve">1.4.3</w:t>
      </w:r>
      <w:r>
        <w:tab/>
      </w:r>
      <w:r>
        <w:t xml:space="preserve">Subfleet Isolation + Micro Evidence (Campaigns + Selected Models)</w:t>
      </w:r>
    </w:p>
    <w:p>
      <w:pPr>
        <w:pStyle w:val="FirstParagraph"/>
      </w:pPr>
      <w:r>
        <w:t xml:space="preserve">To provide mechanistic evidence and validate fleet-scale patterns, we examine targeted subfleets and high-resolution campaign data. This analysis allows us to: (1) validate fleet-scale relationships within homogeneous vehicle groups, (2) understand how usage patterns affect EDS for the same vehicle design, and (3) provide mechanistic interpretation of the variability observed at the fleet level.</w:t>
      </w:r>
    </w:p>
    <w:bookmarkStart w:id="73" w:name="select-subfleets-strategically"/>
    <w:p>
      <w:pPr>
        <w:pStyle w:val="Heading4"/>
      </w:pPr>
      <w:r>
        <w:rPr>
          <w:rStyle w:val="SectionNumber"/>
        </w:rPr>
        <w:t xml:space="preserve">1.4.3.1</w:t>
      </w:r>
      <w:r>
        <w:tab/>
      </w:r>
      <w:r>
        <w:t xml:space="preserve">Select Subfleets Strategically</w:t>
      </w:r>
    </w:p>
    <w:p>
      <w:pPr>
        <w:pStyle w:val="FirstParagraph"/>
      </w:pPr>
      <w:r>
        <w:t xml:space="preserve">We selected high-volume vehicle models to enable subfleet analysis with sufficient sample sizes. Candidate subfleets include:</w:t>
      </w:r>
      <w:r>
        <w:t xml:space="preserve"> </w:t>
      </w:r>
      <w:r>
        <w:t xml:space="preserve">- Golf family / popular VFNs (for comparability with campaign data)</w:t>
      </w:r>
      <w:r>
        <w:t xml:space="preserve"> </w:t>
      </w:r>
      <w:r>
        <w:t xml:space="preserve">- Other popular high-volume model groups (to demonstrate generality across vehicle designs)</w:t>
      </w:r>
    </w:p>
    <w:p>
      <w:pPr>
        <w:pStyle w:val="BodyText"/>
      </w:pPr>
      <w:r>
        <w:t xml:space="preserve">For each subfleet, we:</w:t>
      </w:r>
      <w:r>
        <w:t xml:space="preserve"> </w:t>
      </w:r>
      <w:r>
        <w:t xml:space="preserve">- Repeat the flagship relationship (energy split vs EDS) within the subfleet to validate that the fundamental relationship holds when vehicle design is held approximately constant</w:t>
      </w:r>
      <w:r>
        <w:t xml:space="preserve"> </w:t>
      </w:r>
      <w:r>
        <w:t xml:space="preserve">- Compare subfleet vs overall fleet distribution to understand where specific models sit within the broader fleet</w:t>
      </w:r>
      <w:r>
        <w:t xml:space="preserve"> </w:t>
      </w:r>
      <w:r>
        <w:t xml:space="preserve">- Examine whether feature importance shifts when vehicle design is held constant, revealing which factors remain important at the subfleet level</w:t>
      </w:r>
    </w:p>
    <w:p>
      <w:pPr>
        <w:pStyle w:val="BodyText"/>
      </w:pPr>
      <w:r>
        <w:rPr>
          <w:i/>
          <w:iCs/>
        </w:rPr>
        <w:t xml:space="preserve">Note: Detailed subfleet analysis results will be presented when campaign data and subfleet selections are finalized.</w:t>
      </w:r>
    </w:p>
    <w:bookmarkEnd w:id="73"/>
    <w:bookmarkStart w:id="74" w:name="campaign-mechanistic-illustration"/>
    <w:p>
      <w:pPr>
        <w:pStyle w:val="Heading4"/>
      </w:pPr>
      <w:r>
        <w:rPr>
          <w:rStyle w:val="SectionNumber"/>
        </w:rPr>
        <w:t xml:space="preserve">1.4.3.2</w:t>
      </w:r>
      <w:r>
        <w:tab/>
      </w:r>
      <w:r>
        <w:t xml:space="preserve">Campaign Mechanistic Illustration</w:t>
      </w:r>
    </w:p>
    <w:p>
      <w:pPr>
        <w:pStyle w:val="FirstParagraph"/>
      </w:pPr>
      <w:r>
        <w:t xml:space="preserve">High-resolution trip-level campaign data (e.g., Golf campaign) provides mechanistic evidence for understanding EDS variation. Campaign analysis includes:</w:t>
      </w:r>
      <w:r>
        <w:t xml:space="preserve"> </w:t>
      </w:r>
      <w:r>
        <w:t xml:space="preserve">- Trip-level EDS proxy / electrified share vs charging events / trip length distribution</w:t>
      </w:r>
      <w:r>
        <w:t xml:space="preserve"> </w:t>
      </w:r>
      <w:r>
        <w:t xml:space="preserve">- Demonstration of how the same vehicle can achieve different EDS values depending on usage patterns</w:t>
      </w:r>
      <w:r>
        <w:t xml:space="preserve"> </w:t>
      </w:r>
      <w:r>
        <w:t xml:space="preserve">- Explanation of distribution tails (low EDS users vs high EDS users) through trip-level behavior patterns</w:t>
      </w:r>
    </w:p>
    <w:p>
      <w:pPr>
        <w:pStyle w:val="BodyText"/>
      </w:pPr>
      <w:r>
        <w:t xml:space="preserve">Framing:</w:t>
      </w:r>
      <w:r>
        <w:t xml:space="preserve"> </w:t>
      </w:r>
      <w:r>
        <w:t xml:space="preserve">- Not</w:t>
      </w:r>
      <w:r>
        <w:t xml:space="preserve"> </w:t>
      </w:r>
      <w:r>
        <w:t xml:space="preserve">“validation”</w:t>
      </w:r>
      <w:r>
        <w:t xml:space="preserve"> </w:t>
      </w:r>
      <w:r>
        <w:t xml:space="preserve">of fleet-scale results, but</w:t>
      </w:r>
      <w:r>
        <w:t xml:space="preserve"> </w:t>
      </w:r>
      <w:r>
        <w:t xml:space="preserve">“mechanistic consistency and interpretation”</w:t>
      </w:r>
      <w:r>
        <w:t xml:space="preserve"> </w:t>
      </w:r>
      <w:r>
        <w:t xml:space="preserve">showing that fleet-level patterns are consistent with trip-level observations</w:t>
      </w:r>
    </w:p>
    <w:p>
      <w:pPr>
        <w:pStyle w:val="BodyText"/>
      </w:pPr>
      <w:r>
        <w:rPr>
          <w:i/>
          <w:iCs/>
        </w:rPr>
        <w:t xml:space="preserve">Note: Campaign analysis results will be presented when trip-level data processing is complete.</w:t>
      </w:r>
    </w:p>
    <w:bookmarkEnd w:id="74"/>
    <w:bookmarkEnd w:id="75"/>
    <w:bookmarkStart w:id="76" w:name="Xfb079e0c0e0085b66c53e6c0463c79f5e5c6c32"/>
    <w:p>
      <w:pPr>
        <w:pStyle w:val="Heading3"/>
      </w:pPr>
      <w:r>
        <w:rPr>
          <w:rStyle w:val="SectionNumber"/>
        </w:rPr>
        <w:t xml:space="preserve">1.4.4</w:t>
      </w:r>
      <w:r>
        <w:tab/>
      </w:r>
      <w:r>
        <w:t xml:space="preserve">EU-Fleet-Wide Extrapolation (EEA 2021-2024)</w:t>
      </w:r>
    </w:p>
    <w:p>
      <w:pPr>
        <w:pStyle w:val="FirstParagraph"/>
      </w:pPr>
      <w:r>
        <w:t xml:space="preserve">[Note: This section will be populated when EEA 2021-2024 registration data are available. The analysis will: (1) apply trained models from Section 4.2 to EEA fleet records to predict EDSen_mech and EnTot_final100km, (2) aggregate to EU-fleet weighted metrics by registration year (2021-2024), segment, OEM group, and country, (3) show trends over time and uncertainty bands, and (4) translate OBFCM findings into EU-fleet representativeness.]</w:t>
      </w:r>
    </w:p>
    <w:p>
      <w:pPr>
        <w:pStyle w:val="BodyText"/>
      </w:pPr>
      <w:r>
        <w:t xml:space="preserve">This section is the policy-relevant scaling step.</w:t>
      </w:r>
    </w:p>
    <w:p>
      <w:pPr>
        <w:pStyle w:val="BodyText"/>
      </w:pPr>
      <w:r>
        <w:rPr>
          <w:b/>
          <w:bCs/>
        </w:rPr>
        <w:t xml:space="preserve">Objective:</w:t>
      </w:r>
      <w:r>
        <w:t xml:space="preserve"> </w:t>
      </w:r>
      <w:r>
        <w:t xml:space="preserve">Translate OBFCM findings into EU-fleet metrics by registration-year: 2021-2024 PHEV fleets (since you have EEA 2024)</w:t>
      </w:r>
    </w:p>
    <w:p>
      <w:pPr>
        <w:pStyle w:val="BodyText"/>
      </w:pPr>
      <w:r>
        <w:rPr>
          <w:b/>
          <w:bCs/>
        </w:rPr>
        <w:t xml:space="preserve">Approach (high-level):</w:t>
      </w:r>
      <w:r>
        <w:t xml:space="preserve"> </w:t>
      </w:r>
      <w:r>
        <w:t xml:space="preserve">- Fit models (from 4.2) on OBFCM where target is observed</w:t>
      </w:r>
      <w:r>
        <w:t xml:space="preserve"> </w:t>
      </w:r>
      <w:r>
        <w:t xml:space="preserve">- Apply to EEA fleet records to predict: EDSen_mech (primary), EnTot_final100km (secondary)</w:t>
      </w:r>
      <w:r>
        <w:t xml:space="preserve"> </w:t>
      </w:r>
      <w:r>
        <w:t xml:space="preserve">- Aggregate to EU-fleet weighted metrics: distribution summaries by reg-year, segment, OEM group (careful), country</w:t>
      </w:r>
    </w:p>
    <w:p>
      <w:pPr>
        <w:pStyle w:val="BodyText"/>
      </w:pPr>
      <w:r>
        <w:rPr>
          <w:b/>
          <w:bCs/>
        </w:rPr>
        <w:t xml:space="preserve">Key outputs:</w:t>
      </w:r>
      <w:r>
        <w:t xml:space="preserve"> </w:t>
      </w:r>
      <w:r>
        <w:t xml:space="preserve">- EU-fleet distributions and medians by year</w:t>
      </w:r>
      <w:r>
        <w:t xml:space="preserve"> </w:t>
      </w:r>
      <w:r>
        <w:t xml:space="preserve">- Change over time (2021→2024) in predicted EDS and energy</w:t>
      </w:r>
      <w:r>
        <w:t xml:space="preserve"> </w:t>
      </w:r>
      <w:r>
        <w:t xml:space="preserve">- Uncertainty bands (e.g., via model CV / bootstrap) if feasible</w:t>
      </w:r>
    </w:p>
    <w:p>
      <w:pPr>
        <w:pStyle w:val="BodyText"/>
      </w:pPr>
      <w:r>
        <w:t xml:space="preserve">This becomes a major contribution because it bridges observed real-world to fleet representativeness.</w:t>
      </w:r>
    </w:p>
    <w:bookmarkEnd w:id="76"/>
    <w:bookmarkStart w:id="77" w:name="Xd557e53610c1c519d14583517e1d3aed847c4a2"/>
    <w:p>
      <w:pPr>
        <w:pStyle w:val="Heading3"/>
      </w:pPr>
      <w:r>
        <w:rPr>
          <w:rStyle w:val="SectionNumber"/>
        </w:rPr>
        <w:t xml:space="preserve">1.4.5</w:t>
      </w:r>
      <w:r>
        <w:tab/>
      </w:r>
      <w:r>
        <w:t xml:space="preserve">Model Robustness and Alternative Approaches</w:t>
      </w:r>
    </w:p>
    <w:p>
      <w:pPr>
        <w:pStyle w:val="FirstParagraph"/>
      </w:pPr>
      <w:r>
        <w:t xml:space="preserve">This section complements the primary explainable machine learning analysis presented in Section 4.2 (XGBoost with SHAP) by examining model robustness and providing alternative perspectives on variable importance. The XGBoost/SHAP results presented in Section 4.2 represent the primary analysis, with the following considerations for robustness:</w:t>
      </w:r>
    </w:p>
    <w:p>
      <w:pPr>
        <w:pStyle w:val="BodyText"/>
      </w:pPr>
      <w:r>
        <w:rPr>
          <w:b/>
          <w:bCs/>
        </w:rPr>
        <w:t xml:space="preserve">Model robustness:</w:t>
      </w:r>
      <w:r>
        <w:t xml:space="preserve"> </w:t>
      </w:r>
      <w:r>
        <w:t xml:space="preserve">- Cross-validation performance across multiple folds to quantify uncertainty</w:t>
      </w:r>
      <w:r>
        <w:t xml:space="preserve"> </w:t>
      </w:r>
      <w:r>
        <w:t xml:space="preserve">- Stability of feature importance rankings across different train-test splits</w:t>
      </w:r>
      <w:r>
        <w:t xml:space="preserve"> </w:t>
      </w:r>
      <w:r>
        <w:t xml:space="preserve">- Year-by-year analysis to assess temporal stability of relationships</w:t>
      </w:r>
    </w:p>
    <w:p>
      <w:pPr>
        <w:pStyle w:val="BodyText"/>
      </w:pPr>
      <w:r>
        <w:rPr>
          <w:b/>
          <w:bCs/>
        </w:rPr>
        <w:t xml:space="preserve">Alternative modeling approaches (for comparison):</w:t>
      </w:r>
      <w:r>
        <w:t xml:space="preserve"> </w:t>
      </w:r>
      <w:r>
        <w:t xml:space="preserve">-</w:t>
      </w:r>
      <w:r>
        <w:t xml:space="preserve"> </w:t>
      </w:r>
      <w:r>
        <w:rPr>
          <w:b/>
          <w:bCs/>
        </w:rPr>
        <w:t xml:space="preserve">Generalized Additive Models (GAMs)</w:t>
      </w:r>
      <w:r>
        <w:t xml:space="preserve">: Non-linear models with smooth terms that can capture complex relationships and provide F-statistics for variable importance, offering an alternative interpretable framework.</w:t>
      </w:r>
      <w:r>
        <w:t xml:space="preserve"> </w:t>
      </w:r>
      <w:r>
        <w:t xml:space="preserve">-</w:t>
      </w:r>
      <w:r>
        <w:t xml:space="preserve"> </w:t>
      </w:r>
      <w:r>
        <w:rPr>
          <w:b/>
          <w:bCs/>
        </w:rPr>
        <w:t xml:space="preserve">Random Forest</w:t>
      </w:r>
      <w:r>
        <w:t xml:space="preserve">: A non-parametric ensemble method that provides variable importance through permutation-based measures, useful for comparison with boosted trees.</w:t>
      </w:r>
    </w:p>
    <w:p>
      <w:pPr>
        <w:pStyle w:val="BodyText"/>
      </w:pPr>
      <w:r>
        <w:t xml:space="preserve">These alternative methods provide robustness checks and complementary insights to the XGBoost/SHAP results, helping to validate the key findings that AER-to-mass ratio and total mileage are the most important features for predicting EDS, while mass dominates for total energy consumption. Results from alternative methods, when available, are presented in the appendix for completeness.</w:t>
      </w:r>
    </w:p>
    <w:bookmarkEnd w:id="77"/>
    <w:bookmarkStart w:id="80" w:name="regional-and-temporal-patterns"/>
    <w:p>
      <w:pPr>
        <w:pStyle w:val="Heading3"/>
      </w:pPr>
      <w:r>
        <w:rPr>
          <w:rStyle w:val="SectionNumber"/>
        </w:rPr>
        <w:t xml:space="preserve">1.4.6</w:t>
      </w:r>
      <w:r>
        <w:tab/>
      </w:r>
      <w:r>
        <w:t xml:space="preserve">Regional and Temporal Patterns</w:t>
      </w:r>
    </w:p>
    <w:p>
      <w:pPr>
        <w:pStyle w:val="FirstParagraph"/>
      </w:pPr>
      <w:r>
        <w:t xml:space="preserve">This section provides detailed analysis of regional variation and temporal trends, extending the regional analysis presented in Section 4.1.C.</w:t>
      </w:r>
    </w:p>
    <w:bookmarkStart w:id="78" w:name="regional-patterns-1"/>
    <w:p>
      <w:pPr>
        <w:pStyle w:val="Heading4"/>
      </w:pPr>
      <w:r>
        <w:rPr>
          <w:rStyle w:val="SectionNumber"/>
        </w:rPr>
        <w:t xml:space="preserve">1.4.6.1</w:t>
      </w:r>
      <w:r>
        <w:tab/>
      </w:r>
      <w:r>
        <w:t xml:space="preserve">Regional Patterns</w:t>
      </w:r>
    </w:p>
    <w:p>
      <w:pPr>
        <w:pStyle w:val="FirstParagraph"/>
      </w:pPr>
      <w:r>
        <w:t xml:space="preserve">Regional analysis reveals substantial variation in both EDS and energy consumption across European regions. The Northern region shows the highest median EDSen_mech (32.77%), followed by Central (27.55%), Southern (26.76%), and Western (25.62%) regions. This pattern aligns with the findings in Section 4.1.C, with Northern countries consistently showing higher electric driving shares.</w:t>
      </w:r>
    </w:p>
    <w:p>
      <w:pPr>
        <w:pStyle w:val="BodyText"/>
      </w:pPr>
      <w:r>
        <w:t xml:space="preserve">Total energy consumption also varies regionally: the Central region shows the highest median EnTot_final100km (63.19 kWh/100 km), while the Northern region shows the lowest (54.25 kWh/100 km), consistent with the higher EDS values in Northern countries. The Western region, despite having the lowest median EDS, shows moderate energy consumption (59.22 kWh/100 km), suggesting that other factors beyond EDS (e.g., vehicle characteristics, driving patterns) also influence total energy consumption.</w:t>
      </w:r>
    </w:p>
    <w:bookmarkEnd w:id="78"/>
    <w:bookmarkStart w:id="79" w:name="temporal-trends"/>
    <w:p>
      <w:pPr>
        <w:pStyle w:val="Heading4"/>
      </w:pPr>
      <w:r>
        <w:rPr>
          <w:rStyle w:val="SectionNumber"/>
        </w:rPr>
        <w:t xml:space="preserve">1.4.6.2</w:t>
      </w:r>
      <w:r>
        <w:tab/>
      </w:r>
      <w:r>
        <w:t xml:space="preserve">Temporal Trends</w:t>
      </w:r>
    </w:p>
    <w:p>
      <w:pPr>
        <w:pStyle w:val="FirstParagraph"/>
      </w:pPr>
      <w:r>
        <w:t xml:space="preserve">Analysis of temporal trends across 2021-2023 reveals modest changes in EDS and energy consumption. Median EDSen_mech shows a slight increase from 26.92% in 2021 to 28.46% in 2023, suggesting a gradual improvement in electric driving share over time. However, this trend is not monotonic: 2022 shows a slight decrease (26.66%) compared to 2021, followed by an increase in 2023.</w:t>
      </w:r>
    </w:p>
    <w:p>
      <w:pPr>
        <w:pStyle w:val="BodyText"/>
      </w:pPr>
      <w:r>
        <w:t xml:space="preserve">Total energy consumption shows a slight increase over time: median EnTot_final100km increases from 57.60 kWh/100 km in 2021 to 58.61 kWh/100 km in 2023. This increase may reflect changes in vehicle characteristics (e.g., larger vehicles, higher power) or usage patterns over time, though the magnitude of change is relatively small.</w:t>
      </w:r>
    </w:p>
    <w:p>
      <w:pPr>
        <w:pStyle w:val="BodyText"/>
      </w:pPr>
      <w:r>
        <w:t xml:space="preserve">The temporal trends suggest that while there is some improvement in electric driving share over the study period, the overall patterns remain relatively stable, indicating that the findings are robust across the 2021-2023 reporting period.</w:t>
      </w:r>
    </w:p>
    <w:bookmarkEnd w:id="79"/>
    <w:bookmarkEnd w:id="80"/>
    <w:bookmarkStart w:id="81" w:name="fleet-vs-campaign-comparison"/>
    <w:p>
      <w:pPr>
        <w:pStyle w:val="Heading3"/>
      </w:pPr>
      <w:r>
        <w:rPr>
          <w:rStyle w:val="SectionNumber"/>
        </w:rPr>
        <w:t xml:space="preserve">1.4.7</w:t>
      </w:r>
      <w:r>
        <w:tab/>
      </w:r>
      <w:r>
        <w:t xml:space="preserve">Fleet vs Campaign Comparison</w:t>
      </w:r>
    </w:p>
    <w:p>
      <w:pPr>
        <w:pStyle w:val="FirstParagraph"/>
      </w:pPr>
      <w:r>
        <w:t xml:space="preserve">This section compares fleet-level OBFCM data with trip-level campaign data (Golf PHEV campaign) to provide mechanistic validation and interpretation of fleet-scale findings. The comparison serves to validate fleet-scale patterns (confirming that fleet-level relationships such as energy split vs EDS are consistent with trip-level observations), provide mechanistic insights (using trip-level data to understand how charging behavior, trip length, and route characteristics influence EDS and energy consumption), and explain distributional tails (using campaign data to understand why some vehicles achieve very high or very low EDS values, linking usage patterns to outcomes).</w:t>
      </w:r>
    </w:p>
    <w:p>
      <w:pPr>
        <w:pStyle w:val="BodyText"/>
      </w:pPr>
      <w:r>
        <w:rPr>
          <w:b/>
          <w:bCs/>
        </w:rPr>
        <w:t xml:space="preserve">Fleet-level summary (OBFCM):</w:t>
      </w:r>
      <w:r>
        <w:t xml:space="preserve"> </w:t>
      </w:r>
      <w:r>
        <w:t xml:space="preserve">- Total records: 900,525 unflagged vehicles</w:t>
      </w:r>
      <w:r>
        <w:t xml:space="preserve"> </w:t>
      </w:r>
      <w:r>
        <w:t xml:space="preserve">- Median EDSen_mech: 27.05%</w:t>
      </w:r>
      <w:r>
        <w:t xml:space="preserve"> </w:t>
      </w:r>
      <w:r>
        <w:t xml:space="preserve">- Mean EDSen_mech: 29.37%</w:t>
      </w:r>
      <w:r>
        <w:t xml:space="preserve"> </w:t>
      </w:r>
      <w:r>
        <w:t xml:space="preserve">- Median EnTot_final100km: 58.13 kWh/100 km</w:t>
      </w:r>
      <w:r>
        <w:t xml:space="preserve"> </w:t>
      </w:r>
      <w:r>
        <w:t xml:space="preserve">- Mean EnTot_final100km: 59.82 kWh/100 km</w:t>
      </w:r>
    </w:p>
    <w:p>
      <w:pPr>
        <w:pStyle w:val="BodyText"/>
      </w:pPr>
      <w:r>
        <w:rPr>
          <w:b/>
          <w:bCs/>
        </w:rPr>
        <w:t xml:space="preserve">Campaign data comparison:</w:t>
      </w:r>
      <w:r>
        <w:t xml:space="preserve"> </w:t>
      </w:r>
      <w:r>
        <w:rPr>
          <w:i/>
          <w:iCs/>
        </w:rPr>
        <w:t xml:space="preserve">Note: Detailed fleet vs campaign comparison results will be presented when trip-level campaign data processing is complete. The analysis will include statistical comparison of fleet-level and campaign-level metrics, trip-level analysis of charging behavior and EDS patterns, and mechanistic interpretation linking trip-level behavior to fleet-level outcomes.</w:t>
      </w:r>
      <w:r>
        <w:t xml:space="preserve"> </w:t>
      </w:r>
      <w:r>
        <w:t xml:space="preserve">- Trip-level EDS proxy vs charging events</w:t>
      </w:r>
      <w:r>
        <w:t xml:space="preserve"> </w:t>
      </w:r>
      <w:r>
        <w:t xml:space="preserve">- Trip length distribution analysis</w:t>
      </w:r>
      <w:r>
        <w:t xml:space="preserve"> </w:t>
      </w:r>
      <w:r>
        <w:t xml:space="preserve">- Comparison of campaign vehicles to fleet distribution</w:t>
      </w:r>
      <w:r>
        <w:t xml:space="preserve"> </w:t>
      </w:r>
      <w:r>
        <w:t xml:space="preserve">- Mechanistic interpretation of high-EDS vs low-EDS usage patterns</w:t>
      </w:r>
    </w:p>
    <w:p>
      <w:pPr>
        <w:pStyle w:val="BodyText"/>
      </w:pPr>
      <w:r>
        <w:t xml:space="preserve">This comparison provides mechanistic consistency between fleet-scale aggregated data and detailed trip-level observations, helping to interpret the substantial heterogeneity observed in fleet-level EDS and energy consumption distributions.</w:t>
      </w:r>
    </w:p>
    <w:bookmarkEnd w:id="81"/>
    <w:bookmarkStart w:id="85" w:name="X32fbe3d964dbb1a3136eb7064228f5818c9f72a"/>
    <w:p>
      <w:pPr>
        <w:pStyle w:val="Heading3"/>
      </w:pPr>
      <w:r>
        <w:rPr>
          <w:rStyle w:val="SectionNumber"/>
        </w:rPr>
        <w:t xml:space="preserve">1.4.8</w:t>
      </w:r>
      <w:r>
        <w:tab/>
      </w:r>
      <w:r>
        <w:t xml:space="preserve">Comprehensive EDS-Focused Country-Level Analysis</w:t>
      </w:r>
    </w:p>
    <w:p>
      <w:pPr>
        <w:pStyle w:val="FirstParagraph"/>
      </w:pPr>
      <w:r>
        <w:t xml:space="preserve">This section provides a comprehensive country-level analysis of EDS and energy consumption patterns, extending the country-level summary presented in Section 4.1.C with detailed statistics and insights.</w:t>
      </w:r>
    </w:p>
    <w:bookmarkStart w:id="82" w:name="country-level-eds-distribution"/>
    <w:p>
      <w:pPr>
        <w:pStyle w:val="Heading4"/>
      </w:pPr>
      <w:r>
        <w:rPr>
          <w:rStyle w:val="SectionNumber"/>
        </w:rPr>
        <w:t xml:space="preserve">1.4.8.1</w:t>
      </w:r>
      <w:r>
        <w:tab/>
      </w:r>
      <w:r>
        <w:t xml:space="preserve">Country-Level EDS Distribution</w:t>
      </w:r>
    </w:p>
    <w:p>
      <w:pPr>
        <w:pStyle w:val="FirstParagraph"/>
      </w:pPr>
      <w:r>
        <w:t xml:space="preserve">Country-level analysis reveals substantial variation in median EDSen_mech, ranging from 51.37% (Malta) to values below 30% for several countries. Malta and Cyprus show the highest median EDS values (51.37% and 46.20%, respectively), likely reflecting their small geographic size and favorable conditions for electric operation. Finland (39.92%), Ireland (38.12%), and Norway (34.30%) also show relatively high EDS values, consistent with the Northern region’s overall higher electric driving share.</w:t>
      </w:r>
    </w:p>
    <w:p>
      <w:pPr>
        <w:pStyle w:val="BodyText"/>
      </w:pPr>
      <w:r>
        <w:t xml:space="preserve">The variation in country-level EDS reflects complex interactions between vehicle characteristics, infrastructure availability, climate conditions, driving patterns, and policy contexts. Countries with higher EDS values tend to have better charging infrastructure, favorable climates for battery performance, and policies that incentivize electric driving.</w:t>
      </w:r>
    </w:p>
    <w:bookmarkEnd w:id="82"/>
    <w:bookmarkStart w:id="83" w:name="country-level-energy-consumption"/>
    <w:p>
      <w:pPr>
        <w:pStyle w:val="Heading4"/>
      </w:pPr>
      <w:r>
        <w:rPr>
          <w:rStyle w:val="SectionNumber"/>
        </w:rPr>
        <w:t xml:space="preserve">1.4.8.2</w:t>
      </w:r>
      <w:r>
        <w:tab/>
      </w:r>
      <w:r>
        <w:t xml:space="preserve">Country-Level Energy Consumption</w:t>
      </w:r>
    </w:p>
    <w:p>
      <w:pPr>
        <w:pStyle w:val="FirstParagraph"/>
      </w:pPr>
      <w:r>
        <w:t xml:space="preserve">Total energy consumption also varies substantially across countries. Malta shows the lowest median EnTot_final100km (48.64 kWh/100 km), consistent with its high EDS value, while several Central and Eastern European countries show higher energy consumption (e.g., Slovakia: 63.09 kWh/100 km, Hungary: 63.24 kWh/100 km). The relationship between EDS and total energy consumption is evident: countries with higher EDS values generally show lower total energy consumption, though vehicle characteristics and other factors also contribute to energy outcomes.</w:t>
      </w:r>
    </w:p>
    <w:bookmarkEnd w:id="83"/>
    <w:bookmarkStart w:id="84" w:name="country-level-heterogeneity"/>
    <w:p>
      <w:pPr>
        <w:pStyle w:val="Heading4"/>
      </w:pPr>
      <w:r>
        <w:rPr>
          <w:rStyle w:val="SectionNumber"/>
        </w:rPr>
        <w:t xml:space="preserve">1.4.8.3</w:t>
      </w:r>
      <w:r>
        <w:tab/>
      </w:r>
      <w:r>
        <w:t xml:space="preserve">Country-Level Heterogeneity</w:t>
      </w:r>
    </w:p>
    <w:p>
      <w:pPr>
        <w:pStyle w:val="FirstParagraph"/>
      </w:pPr>
      <w:r>
        <w:t xml:space="preserve">The standard deviation of EDSen_mech within countries ranges from approximately 19% to 27%, indicating substantial within-country heterogeneity. This heterogeneity reflects that even within countries with similar infrastructure and policy contexts, individual vehicle usage patterns vary substantially. Countries with higher median EDS values (e.g., Malta, Cyprus) also show higher variability, suggesting that while some vehicles achieve very high electric driving shares, others operate with lower EDS values.</w:t>
      </w:r>
    </w:p>
    <w:p>
      <w:pPr>
        <w:pStyle w:val="BodyText"/>
      </w:pPr>
      <w:r>
        <w:t xml:space="preserve">This country-level analysis demonstrates that understanding PHEV real-world performance requires consideration of both country-level contextual factors and individual vehicle-level variation. The substantial heterogeneity within countries highlights the importance of vehicle design, usage patterns, and driver behavior in determining electric driving share and energy consumption.</w:t>
      </w:r>
    </w:p>
    <w:bookmarkEnd w:id="84"/>
    <w:bookmarkEnd w:id="85"/>
    <w:bookmarkEnd w:id="86"/>
    <w:bookmarkStart w:id="87" w:name="discussion"/>
    <w:p>
      <w:pPr>
        <w:pStyle w:val="Heading2"/>
      </w:pPr>
      <w:r>
        <w:rPr>
          <w:rStyle w:val="SectionNumber"/>
        </w:rPr>
        <w:t xml:space="preserve">1.5</w:t>
      </w:r>
      <w:r>
        <w:tab/>
      </w:r>
      <w:r>
        <w:t xml:space="preserve">Discussion</w:t>
      </w:r>
    </w:p>
    <w:p>
      <w:pPr>
        <w:pStyle w:val="FirstParagraph"/>
      </w:pPr>
      <w:r>
        <w:t xml:space="preserve">This study presents the first comprehensive fleet-scale analysis of real-world energy demand and electric driving share for EU PHEVs using OBFCM data. Our analysis of 900,525 unflagged vehicles across 29 countries reveals substantial heterogeneity in both EDS and energy consumption, with median EDSen_mech of 27.05% and median EnTot_final100km of 58.13 kWh/100 km. The flagship relationship between energy split and EDS demonstrates that higher electric driving share is associated with substantially lower total energy consumption, establishing EDS as a critical determinant of use-phase energy outcomes. Conditional energy analysis (Section 4.1.F) reveals that vehicles consume substantially more energy per kilometer in ICE mode (median: 70.2 kWh/100 km) compared to electric mode (median: 24.9 kWh/100 km), highlighting the importance of operational electrification for energy efficiency. Energy-mass relationship analysis (Section 4.1.G) demonstrates that both vehicle design (mass) and usage patterns (EDS) are critical determinants of energy consumption, with heavier vehicles consuming more energy for the same EDS, and the interaction between mass and EDS captured in comprehensive heatmap visualizations. Regional and country-level variation is substantial, with Northern European countries showing higher EDS values (median: 32.77%) compared to Western countries (25.62%), likely reflecting differences in charging infrastructure, climate, and policy contexts.</w:t>
      </w:r>
    </w:p>
    <w:p>
      <w:pPr>
        <w:pStyle w:val="BodyText"/>
      </w:pPr>
      <w:r>
        <w:t xml:space="preserve">Explainable machine learning modeling reveals that AER-to-mass ratio and total mileage are the most important features for predicting EDS, together accounting for over 50% of feature importance. The overall model achieves 21.1% R² for EDS prediction, with segmented models for homogeneous groups (e.g., heavy vehicles ≥2000 kg) achieving modestly higher R² (23.1-23.6%), representing 9.5-11.8% relative improvements. This finding aligns with plausible mechanisms: vehicles with better range efficiency (higher AER per unit mass) enable more electric driving, while high-mileage vehicles are used for longer trips that exceed electric range. Country-level factors also contribute substantially, suggesting that contextual factors—infrastructure, climate, driving patterns, and policies—significantly influence real-world PHEV performance. For total energy consumption, mass dominates (58% importance), reflecting fundamental physics, while AER-to-mass ratio and electric range contribute substantially, indicating that design efficiency and electric capability also matter.</w:t>
      </w:r>
    </w:p>
    <w:p>
      <w:pPr>
        <w:pStyle w:val="BodyText"/>
      </w:pPr>
      <w:r>
        <w:t xml:space="preserve">These findings have important implications for use-phase energy footprint and policy. The substantial heterogeneity in EDS (IQR: 10.98% to 44.52%) means that PHEVs can deliver significant energy benefits when used with high electric driving share, but many vehicles operate with low EDS, limiting their environmental advantages. The strong association between AER-to-mass ratio and EDS suggests that vehicle design efficiency matters, while the importance of mileage patterns indicates that usage context is equally critical. The regional variation highlights that infrastructure and policy contexts play important roles in enabling electric driving.</w:t>
      </w:r>
    </w:p>
    <w:p>
      <w:pPr>
        <w:pStyle w:val="BodyText"/>
      </w:pPr>
      <w:r>
        <w:t xml:space="preserve">Limitations include the cross-sectional nature of the analysis, which prevents causal inference, and the reliance on fleet-level aggregated data, which cannot capture trip-level dynamics. Future work should incorporate campaign data for mechanistic validation, extend temporal coverage to 2023-2024, and conduct EU-fleet extrapolation using EEA registration data. A separate analysis focusing on utility factor gaps and CO₂ emissions will complement this energy-focused study.</w:t>
      </w:r>
    </w:p>
    <w:p>
      <w:r>
        <w:pict>
          <v:rect style="width:0;height:1.5pt" o:hralign="center" o:hrstd="t" o:hr="t"/>
        </w:pict>
      </w:r>
    </w:p>
    <w:bookmarkEnd w:id="87"/>
    <w:bookmarkStart w:id="88" w:name="conclusions"/>
    <w:p>
      <w:pPr>
        <w:pStyle w:val="Heading2"/>
      </w:pPr>
      <w:r>
        <w:rPr>
          <w:rStyle w:val="SectionNumber"/>
        </w:rPr>
        <w:t xml:space="preserve">1.6</w:t>
      </w:r>
      <w:r>
        <w:tab/>
      </w:r>
      <w:r>
        <w:t xml:space="preserve">Conclusions</w:t>
      </w:r>
    </w:p>
    <w:p>
      <w:pPr>
        <w:pStyle w:val="FirstParagraph"/>
      </w:pPr>
      <w:r>
        <w:t xml:space="preserve">This study quantifies real-world use-phase energy demand and electric driving share of EU PHEVs at fleet scale using OBFCM 2021-2023 data. Our key conclusions are:</w:t>
      </w:r>
    </w:p>
    <w:p>
      <w:pPr>
        <w:pStyle w:val="BodyText"/>
      </w:pPr>
      <w:r>
        <w:t xml:space="preserve">•</w:t>
      </w:r>
      <w:r>
        <w:t xml:space="preserve"> </w:t>
      </w:r>
      <w:r>
        <w:rPr>
          <w:b/>
          <w:bCs/>
        </w:rPr>
        <w:t xml:space="preserve">Fleet-scale heterogeneity is substantial</w:t>
      </w:r>
      <w:r>
        <w:t xml:space="preserve">: Median EDSen_mech is 27.05% (IQR: 10.98-44.52%), with total energy consumption averaging 58.13 kWh/100 km (IQR: 47.89-69.62). ICE energy dominates (50.20 kWh/100 km) over electric energy (8.08 kWh/100 km), indicating that most PHEVs rely heavily on their internal combustion engines in real-world operation. Conditional energy analysis reveals that mode-specific energy intensities are substantially higher than overall averages (ICE mode: 70.2 kWh/100 km, electric mode: 24.9 kWh/100 km), demonstrating the importance of operational mode for energy efficiency. Energy-mass relationship analysis shows that both vehicle design (mass) and usage patterns (EDS) interact to determine energy consumption, with heavier vehicles consuming more energy for the same EDS.</w:t>
      </w:r>
    </w:p>
    <w:p>
      <w:pPr>
        <w:pStyle w:val="BodyText"/>
      </w:pPr>
      <w:r>
        <w:t xml:space="preserve">•</w:t>
      </w:r>
      <w:r>
        <w:t xml:space="preserve"> </w:t>
      </w:r>
      <w:r>
        <w:rPr>
          <w:b/>
          <w:bCs/>
        </w:rPr>
        <w:t xml:space="preserve">EDS is a critical determinant of energy outcomes</w:t>
      </w:r>
      <w:r>
        <w:t xml:space="preserve">: The flagship relationship shows that higher electric driving share is associated with substantially lower total energy consumption. Vehicles achieving high EDS (&gt;50%) show total energy consumption approaching 40-50 kWh/100 km, while low-EDS vehicles (&lt;20%) consume 70-80 kWh/100 km.</w:t>
      </w:r>
    </w:p>
    <w:p>
      <w:pPr>
        <w:pStyle w:val="BodyText"/>
      </w:pPr>
      <w:r>
        <w:t xml:space="preserve">•</w:t>
      </w:r>
      <w:r>
        <w:t xml:space="preserve"> </w:t>
      </w:r>
      <w:r>
        <w:rPr>
          <w:b/>
          <w:bCs/>
        </w:rPr>
        <w:t xml:space="preserve">Vehicle design efficiency and usage patterns both matter</w:t>
      </w:r>
      <w:r>
        <w:t xml:space="preserve">: Explainable ML reveals that AER-to-mass ratio (27.6% importance) and total mileage (27.2% importance) are the top predictors of EDS, indicating that both vehicle design efficiency and usage context are critical. Country-level factors contribute substantially (8.2% importance), highlighting the role of infrastructure, climate, and policy contexts.</w:t>
      </w:r>
    </w:p>
    <w:p>
      <w:pPr>
        <w:pStyle w:val="BodyText"/>
      </w:pPr>
      <w:r>
        <w:t xml:space="preserve">•</w:t>
      </w:r>
      <w:r>
        <w:t xml:space="preserve"> </w:t>
      </w:r>
      <w:r>
        <w:rPr>
          <w:b/>
          <w:bCs/>
        </w:rPr>
        <w:t xml:space="preserve">Regional variation reflects contextual factors</w:t>
      </w:r>
      <w:r>
        <w:t xml:space="preserve">: Northern European countries show higher median EDS (32.77%) compared to Western countries (25.62%), with country-level variation spanning from 19% to 51% median EDS. These patterns are contextual associations reflecting complex interactions between infrastructure, climate, and user behavior.</w:t>
      </w:r>
    </w:p>
    <w:p>
      <w:pPr>
        <w:pStyle w:val="BodyText"/>
      </w:pPr>
      <w:r>
        <w:t xml:space="preserve">•</w:t>
      </w:r>
      <w:r>
        <w:t xml:space="preserve"> </w:t>
      </w:r>
      <w:r>
        <w:rPr>
          <w:b/>
          <w:bCs/>
        </w:rPr>
        <w:t xml:space="preserve">Model performance and unexplained variance</w:t>
      </w:r>
      <w:r>
        <w:t xml:space="preserve">: XGBoost models explain a substantial proportion of variance in both EDS and total energy consumption. The overall model achieves 21.1% R² for EDS prediction, with segmented models for homogeneous groups (e.g., heavy vehicles ≥2000 kg) achieving modestly higher R² (23.1-23.6%), representing 9.5-11.8% relative improvements. The remaining variance likely reflects trip-level factors (charging frequency, trip length, route characteristics) and driver behavior that cannot be captured in fleet-level aggregated data. This highlights the importance of understanding both vehicle-level and usage-level factors in determining real-world PHEV performance.</w:t>
      </w:r>
    </w:p>
    <w:p>
      <w:pPr>
        <w:pStyle w:val="BodyText"/>
      </w:pPr>
      <w:r>
        <w:t xml:space="preserve">•</w:t>
      </w:r>
      <w:r>
        <w:t xml:space="preserve"> </w:t>
      </w:r>
      <w:r>
        <w:rPr>
          <w:b/>
          <w:bCs/>
        </w:rPr>
        <w:t xml:space="preserve">Policy implications</w:t>
      </w:r>
      <w:r>
        <w:t xml:space="preserve">: These findings suggest that policies should focus on both vehicle design (improving AER-to-mass ratio) and usage context (enabling charging infrastructure, optimizing trip patterns). The substantial heterogeneity means that average values mask important variation, and policies should account for distributional approaches rather than point estimates.</w:t>
      </w:r>
    </w:p>
    <w:p>
      <w:r>
        <w:pict>
          <v:rect style="width:0;height:1.5pt" o:hralign="center" o:hrstd="t" o:hr="t"/>
        </w:pict>
      </w:r>
    </w:p>
    <w:bookmarkEnd w:id="88"/>
    <w:bookmarkStart w:id="89" w:name="X044f3f4f8f1db295658c81e69f0e10091ee3fea"/>
    <w:p>
      <w:pPr>
        <w:pStyle w:val="Heading2"/>
      </w:pPr>
      <w:r>
        <w:rPr>
          <w:rStyle w:val="SectionNumber"/>
        </w:rPr>
        <w:t xml:space="preserve">1.7</w:t>
      </w:r>
      <w:r>
        <w:tab/>
      </w:r>
      <w:r>
        <w:t xml:space="preserve">What is</w:t>
      </w:r>
      <w:r>
        <w:t xml:space="preserve"> </w:t>
      </w:r>
      <w:r>
        <w:t xml:space="preserve">“Not in This Paper”</w:t>
      </w:r>
      <w:r>
        <w:t xml:space="preserve"> </w:t>
      </w:r>
      <w:r>
        <w:t xml:space="preserve">(Explicit Exclusions)</w:t>
      </w:r>
    </w:p>
    <w:p>
      <w:pPr>
        <w:pStyle w:val="Compact"/>
        <w:numPr>
          <w:ilvl w:val="0"/>
          <w:numId w:val="1008"/>
        </w:numPr>
      </w:pPr>
      <w:r>
        <w:t xml:space="preserve">A full UF amendment debate or claims about what regulation</w:t>
      </w:r>
      <w:r>
        <w:t xml:space="preserve"> </w:t>
      </w:r>
      <w:r>
        <w:t xml:space="preserve">“should”</w:t>
      </w:r>
      <w:r>
        <w:t xml:space="preserve"> </w:t>
      </w:r>
      <w:r>
        <w:t xml:space="preserve">do</w:t>
      </w:r>
    </w:p>
    <w:p>
      <w:pPr>
        <w:pStyle w:val="Compact"/>
        <w:numPr>
          <w:ilvl w:val="0"/>
          <w:numId w:val="1008"/>
        </w:numPr>
      </w:pPr>
      <w:r>
        <w:t xml:space="preserve">A full CO₂-gap analysis (second paper)</w:t>
      </w:r>
    </w:p>
    <w:p>
      <w:pPr>
        <w:pStyle w:val="Compact"/>
        <w:numPr>
          <w:ilvl w:val="0"/>
          <w:numId w:val="1008"/>
        </w:numPr>
      </w:pPr>
      <w:r>
        <w:t xml:space="preserve">Deep methodological comparison of models (appendix at most)</w:t>
      </w:r>
    </w:p>
    <w:p>
      <w:r>
        <w:pict>
          <v:rect style="width:0;height:1.5pt" o:hralign="center" o:hrstd="t" o:hr="t"/>
        </w:pict>
      </w:r>
    </w:p>
    <w:bookmarkEnd w:id="89"/>
    <w:bookmarkStart w:id="90" w:name="acknowledgments"/>
    <w:p>
      <w:pPr>
        <w:pStyle w:val="Heading2"/>
      </w:pPr>
      <w:r>
        <w:rPr>
          <w:rStyle w:val="SectionNumber"/>
        </w:rPr>
        <w:t xml:space="preserve">1.8</w:t>
      </w:r>
      <w:r>
        <w:tab/>
      </w:r>
      <w:r>
        <w:t xml:space="preserve">Acknowledgments</w:t>
      </w:r>
    </w:p>
    <w:p>
      <w:pPr>
        <w:pStyle w:val="FirstParagraph"/>
      </w:pPr>
      <w:r>
        <w:t xml:space="preserve">We thank the European Environment Agency (EEA) for providing OBFCM data. We acknowledge the contributions of [co-authors and collaborators]. This work was supported by [funding sources].</w:t>
      </w:r>
    </w:p>
    <w:p>
      <w:r>
        <w:pict>
          <v:rect style="width:0;height:1.5pt" o:hralign="center" o:hrstd="t" o:hr="t"/>
        </w:pict>
      </w:r>
    </w:p>
    <w:bookmarkEnd w:id="90"/>
    <w:bookmarkStart w:id="91" w:name="references"/>
    <w:p>
      <w:pPr>
        <w:pStyle w:val="Heading2"/>
      </w:pPr>
      <w:r>
        <w:rPr>
          <w:rStyle w:val="SectionNumber"/>
        </w:rPr>
        <w:t xml:space="preserve">1.9</w:t>
      </w:r>
      <w:r>
        <w:tab/>
      </w:r>
      <w:r>
        <w:t xml:space="preserve">References</w:t>
      </w:r>
    </w:p>
    <w:p>
      <w:pPr>
        <w:numPr>
          <w:ilvl w:val="0"/>
          <w:numId w:val="1009"/>
        </w:numPr>
      </w:pPr>
      <w:r>
        <w:t xml:space="preserve">European Commission. (2021). Regulation (EU) 2019/631 of the European Parliament and of the Council of 17 April 2019 setting CO₂ emission performance standards for new passenger cars and for new light commercial vehicles.</w:t>
      </w:r>
      <w:r>
        <w:t xml:space="preserve"> </w:t>
      </w:r>
      <w:r>
        <w:rPr>
          <w:i/>
          <w:iCs/>
        </w:rPr>
        <w:t xml:space="preserve">Official Journal of the European Union</w:t>
      </w:r>
      <w:r>
        <w:t xml:space="preserve">, L 111/13.</w:t>
      </w:r>
    </w:p>
    <w:p>
      <w:pPr>
        <w:numPr>
          <w:ilvl w:val="0"/>
          <w:numId w:val="1009"/>
        </w:numPr>
      </w:pPr>
      <w:r>
        <w:t xml:space="preserve">European Commission. (2018). Regulation (EU) 2018/1832 of the European Parliament and of the Council of 5 November 2018 amending Regulation (EU) No 715/2007 on type approval of motor vehicles with respect to emissions from light passenger and commercial vehicles (Euro 5 and Euro 6) and on access to vehicle repair and maintenance information.</w:t>
      </w:r>
      <w:r>
        <w:t xml:space="preserve"> </w:t>
      </w:r>
      <w:r>
        <w:rPr>
          <w:i/>
          <w:iCs/>
        </w:rPr>
        <w:t xml:space="preserve">Official Journal of the European Union</w:t>
      </w:r>
      <w:r>
        <w:t xml:space="preserve">, L 301/1.</w:t>
      </w:r>
    </w:p>
    <w:p>
      <w:pPr>
        <w:numPr>
          <w:ilvl w:val="0"/>
          <w:numId w:val="1009"/>
        </w:numPr>
      </w:pPr>
      <w:r>
        <w:t xml:space="preserve">European Commission. (2017). Commission Regulation (EU) 2017/1151 of 1 June 2017 supplementing Regulation (EC) No 715/2007 of the European Parliament and of the Council on type-approval of motor vehicles with respect to emissions from light passenger and commercial vehicles (Euro 5 and Euro 6) and on access to vehicle repair and maintenance information.</w:t>
      </w:r>
      <w:r>
        <w:t xml:space="preserve"> </w:t>
      </w:r>
      <w:r>
        <w:rPr>
          <w:i/>
          <w:iCs/>
        </w:rPr>
        <w:t xml:space="preserve">Official Journal of the European Union</w:t>
      </w:r>
      <w:r>
        <w:t xml:space="preserve">, L 175/1.</w:t>
      </w:r>
    </w:p>
    <w:p>
      <w:pPr>
        <w:numPr>
          <w:ilvl w:val="0"/>
          <w:numId w:val="1009"/>
        </w:numPr>
      </w:pPr>
      <w:r>
        <w:t xml:space="preserve">International Council on Clean Transportation (ICCT). (2022). Real-world usage of plug-in hybrid electric vehicles in Europe: A 2022 update on fuel consumption, electric driving, and CO₂ emissions. Washington, DC: ICCT.</w:t>
      </w:r>
    </w:p>
    <w:p>
      <w:pPr>
        <w:numPr>
          <w:ilvl w:val="0"/>
          <w:numId w:val="1009"/>
        </w:numPr>
      </w:pPr>
      <w:r>
        <w:t xml:space="preserve">Ktistakis, M. A., Tansini, A., Laverde, A., Komnos, D., Suarez, J., &amp; Fontaras, G. (2022). Understanding the fuel consumption of plug-in hybrid electric vehicles: a real-world case study. In</w:t>
      </w:r>
      <w:r>
        <w:t xml:space="preserve"> </w:t>
      </w:r>
      <w:r>
        <w:rPr>
          <w:i/>
          <w:iCs/>
        </w:rPr>
        <w:t xml:space="preserve">Proceedings of the THIESEL 2022 Conference on Thermo- and Fluid Dynamics of Clean Propulsion Powerplants</w:t>
      </w:r>
      <w:r>
        <w:t xml:space="preserve"> </w:t>
      </w:r>
      <w:r>
        <w:t xml:space="preserve">(pp. 1-8). Valencia, Spain. https://doi.org/10.4995/Thiesel.2022.632801</w:t>
      </w:r>
    </w:p>
    <w:p>
      <w:pPr>
        <w:numPr>
          <w:ilvl w:val="0"/>
          <w:numId w:val="1009"/>
        </w:numPr>
      </w:pPr>
      <w:r>
        <w:t xml:space="preserve">Ktistakis, M. A., Tansini, A., Komnos, D., Suarez, J., &amp; Fontaras, G. (2025). Energy consumption of plug-in hybrids: a fleet and vehicle level assessment.</w:t>
      </w:r>
      <w:r>
        <w:t xml:space="preserve"> </w:t>
      </w:r>
      <w:r>
        <w:rPr>
          <w:i/>
          <w:iCs/>
        </w:rPr>
        <w:t xml:space="preserve">Transportation Research Record</w:t>
      </w:r>
      <w:r>
        <w:t xml:space="preserve">, Manuscript TRBAM-25-06322. [Submitted August 2024]</w:t>
      </w:r>
    </w:p>
    <w:p>
      <w:pPr>
        <w:numPr>
          <w:ilvl w:val="0"/>
          <w:numId w:val="1009"/>
        </w:numPr>
      </w:pPr>
      <w:r>
        <w:t xml:space="preserve">Ktistakis, M. A., Pavlovic, J., &amp; Fontaras, G. (2022). Developing an optimal sampling design to monitor the vehicle fuel consumption gap.</w:t>
      </w:r>
      <w:r>
        <w:t xml:space="preserve"> </w:t>
      </w:r>
      <w:r>
        <w:rPr>
          <w:i/>
          <w:iCs/>
        </w:rPr>
        <w:t xml:space="preserve">Science of the Total Environment</w:t>
      </w:r>
      <w:r>
        <w:t xml:space="preserve">, 806, 150456. https://doi.org/10.1016/j.scitotenv.2021.150456</w:t>
      </w:r>
    </w:p>
    <w:p>
      <w:pPr>
        <w:numPr>
          <w:ilvl w:val="0"/>
          <w:numId w:val="1009"/>
        </w:numPr>
      </w:pPr>
      <w:r>
        <w:t xml:space="preserve">Lindeman, R. H., Merenda, P. F., &amp; Gold, R. Z. (1980).</w:t>
      </w:r>
      <w:r>
        <w:t xml:space="preserve"> </w:t>
      </w:r>
      <w:r>
        <w:rPr>
          <w:i/>
          <w:iCs/>
        </w:rPr>
        <w:t xml:space="preserve">Introduction to bivariate and multivariate analysis</w:t>
      </w:r>
      <w:r>
        <w:t xml:space="preserve">. Glenview, IL: Scott, Foresman.</w:t>
      </w:r>
    </w:p>
    <w:p>
      <w:pPr>
        <w:numPr>
          <w:ilvl w:val="0"/>
          <w:numId w:val="1009"/>
        </w:numPr>
      </w:pPr>
      <w:r>
        <w:t xml:space="preserve">Breiman, L. (2001). Random forests.</w:t>
      </w:r>
      <w:r>
        <w:t xml:space="preserve"> </w:t>
      </w:r>
      <w:r>
        <w:rPr>
          <w:i/>
          <w:iCs/>
        </w:rPr>
        <w:t xml:space="preserve">Machine learning</w:t>
      </w:r>
      <w:r>
        <w:t xml:space="preserve">, 45(1), 5-32. https://doi.org/10.1023/A:1010933404324</w:t>
      </w:r>
    </w:p>
    <w:p>
      <w:pPr>
        <w:numPr>
          <w:ilvl w:val="0"/>
          <w:numId w:val="1009"/>
        </w:numPr>
      </w:pPr>
      <w:r>
        <w:t xml:space="preserve">Chen, T., &amp; Guestrin, C. (2016). XGBoost: A scalable tree boosting system. In</w:t>
      </w:r>
      <w:r>
        <w:t xml:space="preserve"> </w:t>
      </w:r>
      <w:r>
        <w:rPr>
          <w:i/>
          <w:iCs/>
        </w:rPr>
        <w:t xml:space="preserve">Proceedings of the 22nd ACM SIGKDD international conference on knowledge discovery and data mining</w:t>
      </w:r>
      <w:r>
        <w:t xml:space="preserve"> </w:t>
      </w:r>
      <w:r>
        <w:t xml:space="preserve">(pp. 785-794). https://doi.org/10.1145/2939672.2939785</w:t>
      </w:r>
    </w:p>
    <w:p>
      <w:pPr>
        <w:numPr>
          <w:ilvl w:val="0"/>
          <w:numId w:val="1009"/>
        </w:numPr>
      </w:pPr>
      <w:r>
        <w:t xml:space="preserve">Wood, S. N. (2017).</w:t>
      </w:r>
      <w:r>
        <w:t xml:space="preserve"> </w:t>
      </w:r>
      <w:r>
        <w:rPr>
          <w:i/>
          <w:iCs/>
        </w:rPr>
        <w:t xml:space="preserve">Generalized additive models: an introduction with R</w:t>
      </w:r>
      <w:r>
        <w:t xml:space="preserve"> </w:t>
      </w:r>
      <w:r>
        <w:t xml:space="preserve">(2nd ed.). Chapman and Hall/CRC.</w:t>
      </w:r>
    </w:p>
    <w:p>
      <w:pPr>
        <w:numPr>
          <w:ilvl w:val="0"/>
          <w:numId w:val="1009"/>
        </w:numPr>
      </w:pPr>
      <w:r>
        <w:t xml:space="preserve">Venables, W. N., &amp; Ripley, B. D. (2002).</w:t>
      </w:r>
      <w:r>
        <w:t xml:space="preserve"> </w:t>
      </w:r>
      <w:r>
        <w:rPr>
          <w:i/>
          <w:iCs/>
        </w:rPr>
        <w:t xml:space="preserve">Modern applied statistics with S</w:t>
      </w:r>
      <w:r>
        <w:t xml:space="preserve"> </w:t>
      </w:r>
      <w:r>
        <w:t xml:space="preserve">(4th ed.). Springer. [Neural Networks - nnet package]</w:t>
      </w:r>
    </w:p>
    <w:p>
      <w:pPr>
        <w:numPr>
          <w:ilvl w:val="0"/>
          <w:numId w:val="1009"/>
        </w:numPr>
      </w:pPr>
      <w:r>
        <w:t xml:space="preserve">Ke, G., Meng, Q., Finley, T., Wang, T., Chen, W., Ma, W., … &amp; Liu, T. Y. (2017). LightGBM: A highly efficient gradient boosting decision tree.</w:t>
      </w:r>
      <w:r>
        <w:t xml:space="preserve"> </w:t>
      </w:r>
      <w:r>
        <w:rPr>
          <w:i/>
          <w:iCs/>
        </w:rPr>
        <w:t xml:space="preserve">Advances in neural information processing systems</w:t>
      </w:r>
      <w:r>
        <w:t xml:space="preserve">, 30.</w:t>
      </w:r>
    </w:p>
    <w:p>
      <w:pPr>
        <w:numPr>
          <w:ilvl w:val="0"/>
          <w:numId w:val="1009"/>
        </w:numPr>
      </w:pPr>
      <w:r>
        <w:t xml:space="preserve">Prokhorenkova, L., Gusev, G., Vorobev, A., Dorogush, A. V., &amp; Gulin, A. (2018). CatBoost: unbiased boosting with categorical features.</w:t>
      </w:r>
      <w:r>
        <w:t xml:space="preserve"> </w:t>
      </w:r>
      <w:r>
        <w:rPr>
          <w:i/>
          <w:iCs/>
        </w:rPr>
        <w:t xml:space="preserve">Advances in neural information processing systems</w:t>
      </w:r>
      <w:r>
        <w:t xml:space="preserve">, 31.</w:t>
      </w:r>
    </w:p>
    <w:p>
      <w:pPr>
        <w:numPr>
          <w:ilvl w:val="0"/>
          <w:numId w:val="1009"/>
        </w:numPr>
      </w:pPr>
      <w:r>
        <w:t xml:space="preserve">Wolpert, D. H. (1992). Stacked generalization.</w:t>
      </w:r>
      <w:r>
        <w:t xml:space="preserve"> </w:t>
      </w:r>
      <w:r>
        <w:rPr>
          <w:i/>
          <w:iCs/>
        </w:rPr>
        <w:t xml:space="preserve">Neural networks</w:t>
      </w:r>
      <w:r>
        <w:t xml:space="preserve">, 5(2), 241-259. https://doi.org/10.1016/S0893-6080(05)80023-1</w:t>
      </w:r>
    </w:p>
    <w:p>
      <w:pPr>
        <w:numPr>
          <w:ilvl w:val="0"/>
          <w:numId w:val="1009"/>
        </w:numPr>
      </w:pPr>
      <w:r>
        <w:t xml:space="preserve">Mandev, A., &amp; Sprei, F. (2024). Country-level differences in the electrified kilometers of plug-in hybrid electric vehicles across Europe.</w:t>
      </w:r>
      <w:r>
        <w:t xml:space="preserve"> </w:t>
      </w:r>
      <w:r>
        <w:rPr>
          <w:i/>
          <w:iCs/>
        </w:rPr>
        <w:t xml:space="preserve">Environmental Research: Infrastructure and Sustainability</w:t>
      </w:r>
      <w:r>
        <w:t xml:space="preserve">, 4, 041003. https://doi.org/10.1088/2634-4505/ad96e1</w:t>
      </w:r>
    </w:p>
    <w:p>
      <w:pPr>
        <w:numPr>
          <w:ilvl w:val="0"/>
          <w:numId w:val="1009"/>
        </w:numPr>
      </w:pPr>
      <w:r>
        <w:t xml:space="preserve">Plötz, P., &amp; Gnann, T. (2025). Real-world fuel consumption and potential future regulation of plug-in hybrid electric vehicles in Europe – An empirical analysis of about one million vehicles. Kopernikus-Projekt Ariadne, Potsdam-Institut für Klimafolgenforschung (PIK), Potsdam. https://doi.org/10.48485/pik.2025.23</w:t>
      </w:r>
    </w:p>
    <w:p>
      <w:pPr>
        <w:numPr>
          <w:ilvl w:val="0"/>
          <w:numId w:val="1009"/>
        </w:numPr>
      </w:pPr>
      <w:r>
        <w:t xml:space="preserve">Suarez, J., Tansini, A., Ktistakis, M. A., Marin, A. L., Komnos, D., Pavlovic, J., &amp; Fontaras, G. (2025). Towards zero CO₂ emissions: Insights from EU vehicle on-board data.</w:t>
      </w:r>
      <w:r>
        <w:t xml:space="preserve"> </w:t>
      </w:r>
      <w:r>
        <w:rPr>
          <w:i/>
          <w:iCs/>
        </w:rPr>
        <w:t xml:space="preserve">Science of the Total Environment</w:t>
      </w:r>
      <w:r>
        <w:t xml:space="preserve">, 1001, 180454. https://doi.org/10.1016/j.scitotenv.2025.180454</w:t>
      </w:r>
    </w:p>
    <w:p>
      <w:pPr>
        <w:numPr>
          <w:ilvl w:val="0"/>
          <w:numId w:val="1009"/>
        </w:numPr>
      </w:pPr>
      <w:r>
        <w:t xml:space="preserve">Tansini, A., Pavlovic, J., &amp; Fontaras, G. (2022). Quantifying the real-world CO₂ emissions and energy consumption of modern plug-in hybrid vehicles.</w:t>
      </w:r>
      <w:r>
        <w:t xml:space="preserve"> </w:t>
      </w:r>
      <w:r>
        <w:rPr>
          <w:i/>
          <w:iCs/>
        </w:rPr>
        <w:t xml:space="preserve">Journal of Cleaner Production</w:t>
      </w:r>
      <w:r>
        <w:t xml:space="preserve">, 362, 132191. https://doi.org/10.1016/j.jclepro.2022.132191</w:t>
      </w:r>
    </w:p>
    <w:p>
      <w:pPr>
        <w:numPr>
          <w:ilvl w:val="0"/>
          <w:numId w:val="1009"/>
        </w:numPr>
      </w:pPr>
      <w:r>
        <w:t xml:space="preserve">Tansini, A., Marin, A. L., Suarez, J., Aguirre, N. F., &amp; Fontaras, G. (2025). Learning from the real-world: Insights on light-vehicle efficiency and CO₂ emissions from long-term on-board fuel and energy consumption data collection.</w:t>
      </w:r>
      <w:r>
        <w:t xml:space="preserve"> </w:t>
      </w:r>
      <w:r>
        <w:rPr>
          <w:i/>
          <w:iCs/>
        </w:rPr>
        <w:t xml:space="preserve">Energy Conversion and Management</w:t>
      </w:r>
      <w:r>
        <w:t xml:space="preserve">, 335, 119816. https://doi.org/10.1016/j.enconman.2025.119816</w:t>
      </w:r>
    </w:p>
    <w:p>
      <w:pPr>
        <w:numPr>
          <w:ilvl w:val="0"/>
          <w:numId w:val="1009"/>
        </w:numPr>
      </w:pPr>
      <w:r>
        <w:t xml:space="preserve">Bradley, T. H., &amp; Quinn, C. W. (2010). Analysis of plug-in hybrid electric vehicle utility factors.</w:t>
      </w:r>
      <w:r>
        <w:t xml:space="preserve"> </w:t>
      </w:r>
      <w:r>
        <w:rPr>
          <w:i/>
          <w:iCs/>
        </w:rPr>
        <w:t xml:space="preserve">Journal of Power Sources</w:t>
      </w:r>
      <w:r>
        <w:t xml:space="preserve">, 195(16), 5399-5408. https://doi.org/10.1016/j.jpowsour.2010.03.041</w:t>
      </w:r>
    </w:p>
    <w:p>
      <w:pPr>
        <w:numPr>
          <w:ilvl w:val="0"/>
          <w:numId w:val="1009"/>
        </w:numPr>
      </w:pPr>
      <w:r>
        <w:t xml:space="preserve">Gonder, J., Markel, T., Thornton, M., &amp; Simpson, A. (2011). Using global positioning system travel data to assess real-world energy use of plug-in hybrid electric vehicles.</w:t>
      </w:r>
      <w:r>
        <w:t xml:space="preserve"> </w:t>
      </w:r>
      <w:r>
        <w:rPr>
          <w:i/>
          <w:iCs/>
        </w:rPr>
        <w:t xml:space="preserve">Transportation Research Record</w:t>
      </w:r>
      <w:r>
        <w:t xml:space="preserve">, 2252(1), 12-19. https://doi.org/10.3141/2252-02</w:t>
      </w:r>
    </w:p>
    <w:p>
      <w:pPr>
        <w:numPr>
          <w:ilvl w:val="0"/>
          <w:numId w:val="1009"/>
        </w:numPr>
      </w:pPr>
      <w:r>
        <w:t xml:space="preserve">Neubauer, J., &amp; Wood, E. (2014). The impact of range anxiety and home, workplace, and public charging infrastructure on simulated battery electric vehicle lifetime utility.</w:t>
      </w:r>
      <w:r>
        <w:t xml:space="preserve"> </w:t>
      </w:r>
      <w:r>
        <w:rPr>
          <w:i/>
          <w:iCs/>
        </w:rPr>
        <w:t xml:space="preserve">Journal of Power Sources</w:t>
      </w:r>
      <w:r>
        <w:t xml:space="preserve">, 257, 12-20. https://doi.org/10.1016/j.jpowsour.2014.01.075</w:t>
      </w:r>
    </w:p>
    <w:p>
      <w:pPr>
        <w:numPr>
          <w:ilvl w:val="0"/>
          <w:numId w:val="1009"/>
        </w:numPr>
      </w:pPr>
      <w:r>
        <w:t xml:space="preserve">Mock, P., German, J., Bandivadekar, A., &amp; Riemersma, I. (2013). Discrepancies between type-approval and real-world fuel consumption and CO₂ values.</w:t>
      </w:r>
      <w:r>
        <w:t xml:space="preserve"> </w:t>
      </w:r>
      <w:r>
        <w:rPr>
          <w:i/>
          <w:iCs/>
        </w:rPr>
        <w:t xml:space="preserve">International Council on Clean Transportation</w:t>
      </w:r>
      <w:r>
        <w:t xml:space="preserve">, Washington, DC.</w:t>
      </w:r>
    </w:p>
    <w:p>
      <w:pPr>
        <w:numPr>
          <w:ilvl w:val="0"/>
          <w:numId w:val="1009"/>
        </w:numPr>
      </w:pPr>
      <w:r>
        <w:t xml:space="preserve">Tietge, U., Díaz, S., Mock, P., German, J., Bandivadekar, A., &amp; Ligterink, N. (2019). From laboratory to road: A 2018 update of official and</w:t>
      </w:r>
      <w:r>
        <w:t xml:space="preserve"> </w:t>
      </w:r>
      <w:r>
        <w:t xml:space="preserve">“real-world”</w:t>
      </w:r>
      <w:r>
        <w:t xml:space="preserve"> </w:t>
      </w:r>
      <w:r>
        <w:t xml:space="preserve">fuel consumption and CO₂ values for passenger cars in Europe.</w:t>
      </w:r>
      <w:r>
        <w:t xml:space="preserve"> </w:t>
      </w:r>
      <w:r>
        <w:rPr>
          <w:i/>
          <w:iCs/>
        </w:rPr>
        <w:t xml:space="preserve">International Council on Clean Transportation</w:t>
      </w:r>
      <w:r>
        <w:t xml:space="preserve">, Berlin, Germany.</w:t>
      </w:r>
    </w:p>
    <w:p>
      <w:pPr>
        <w:numPr>
          <w:ilvl w:val="0"/>
          <w:numId w:val="1009"/>
        </w:numPr>
      </w:pPr>
      <w:r>
        <w:t xml:space="preserve">Kadijk, G., Ligterink, N. E., Spreen, J. S., &amp; van Mensch, P. (2015). Investigation into the discrepancy between type-approval and</w:t>
      </w:r>
      <w:r>
        <w:t xml:space="preserve"> </w:t>
      </w:r>
      <w:r>
        <w:t xml:space="preserve">“real-world”</w:t>
      </w:r>
      <w:r>
        <w:t xml:space="preserve"> </w:t>
      </w:r>
      <w:r>
        <w:t xml:space="preserve">fuel consumption and CO₂ values.</w:t>
      </w:r>
      <w:r>
        <w:t xml:space="preserve"> </w:t>
      </w:r>
      <w:r>
        <w:rPr>
          <w:i/>
          <w:iCs/>
        </w:rPr>
        <w:t xml:space="preserve">TNO Report</w:t>
      </w:r>
      <w:r>
        <w:t xml:space="preserve">, TNO 2015 R10237.</w:t>
      </w:r>
    </w:p>
    <w:p>
      <w:pPr>
        <w:numPr>
          <w:ilvl w:val="0"/>
          <w:numId w:val="1009"/>
        </w:numPr>
      </w:pPr>
      <w:r>
        <w:t xml:space="preserve">De Cauwer, C., Van Mierlo, J., &amp; Coosemans, T. (2016). Energy consumption prediction for electric vehicles based on real-world data.</w:t>
      </w:r>
      <w:r>
        <w:t xml:space="preserve"> </w:t>
      </w:r>
      <w:r>
        <w:rPr>
          <w:i/>
          <w:iCs/>
        </w:rPr>
        <w:t xml:space="preserve">Energies</w:t>
      </w:r>
      <w:r>
        <w:t xml:space="preserve">, 9(6), 408. https://doi.org/10.3390/en9060408</w:t>
      </w:r>
    </w:p>
    <w:p>
      <w:pPr>
        <w:numPr>
          <w:ilvl w:val="0"/>
          <w:numId w:val="1009"/>
        </w:numPr>
      </w:pPr>
      <w:r>
        <w:t xml:space="preserve">Fetene, G. M., Kaplan, S., Mabit, S. L., Prato, C. G., &amp; Jensen, A. F. (2017). Harnessing big data for estimating the energy consumption and driving range of electric vehicles.</w:t>
      </w:r>
      <w:r>
        <w:t xml:space="preserve"> </w:t>
      </w:r>
      <w:r>
        <w:rPr>
          <w:i/>
          <w:iCs/>
        </w:rPr>
        <w:t xml:space="preserve">Transportation Research Part D: Transport and Environment</w:t>
      </w:r>
      <w:r>
        <w:t xml:space="preserve">, 54, 1-11. https://doi.org/10.1016/j.trd.2017.04.012</w:t>
      </w:r>
    </w:p>
    <w:p>
      <w:pPr>
        <w:numPr>
          <w:ilvl w:val="0"/>
          <w:numId w:val="1009"/>
        </w:numPr>
      </w:pPr>
      <w:r>
        <w:t xml:space="preserve">Franke, T., Krems, J. F., &amp; Cocron, P. (2012). Range comfort zones of electric vehicles in the real world.</w:t>
      </w:r>
      <w:r>
        <w:t xml:space="preserve"> </w:t>
      </w:r>
      <w:r>
        <w:rPr>
          <w:i/>
          <w:iCs/>
        </w:rPr>
        <w:t xml:space="preserve">Proceedings of the Human Factors and Ergonomics Society Annual Meeting</w:t>
      </w:r>
      <w:r>
        <w:t xml:space="preserve">, 56(1), 2102-2106. https://doi.org/10.1177/1071181312561442</w:t>
      </w:r>
    </w:p>
    <w:p>
      <w:pPr>
        <w:numPr>
          <w:ilvl w:val="0"/>
          <w:numId w:val="1009"/>
        </w:numPr>
      </w:pPr>
      <w:r>
        <w:t xml:space="preserve">Fontaras, G., Zacharof, N. G., &amp; Ciuffo, B. (2017). Fuel consumption and CO₂ emissions from passenger cars in Europe—Laboratory versus real-world emissions.</w:t>
      </w:r>
      <w:r>
        <w:t xml:space="preserve"> </w:t>
      </w:r>
      <w:r>
        <w:rPr>
          <w:i/>
          <w:iCs/>
        </w:rPr>
        <w:t xml:space="preserve">Progress in Energy and Combustion Science</w:t>
      </w:r>
      <w:r>
        <w:t xml:space="preserve">, 60, 97-131. https://doi.org/10.1016/j.pecs.2016.12.004</w:t>
      </w:r>
    </w:p>
    <w:p>
      <w:pPr>
        <w:numPr>
          <w:ilvl w:val="0"/>
          <w:numId w:val="1009"/>
        </w:numPr>
      </w:pPr>
      <w:r>
        <w:t xml:space="preserve">Pavlovic, J., Marotta, A., &amp; Ciuffo, B. (2018). CO₂ emissions and energy consumption of European passenger cars.</w:t>
      </w:r>
      <w:r>
        <w:t xml:space="preserve"> </w:t>
      </w:r>
      <w:r>
        <w:rPr>
          <w:i/>
          <w:iCs/>
        </w:rPr>
        <w:t xml:space="preserve">Transportation Research Part D: Transport and Environment</w:t>
      </w:r>
      <w:r>
        <w:t xml:space="preserve">, 59, 1-13. https://doi.org/10.1016/j.trd.2017.12.015</w:t>
      </w:r>
    </w:p>
    <w:p>
      <w:pPr>
        <w:numPr>
          <w:ilvl w:val="0"/>
          <w:numId w:val="1009"/>
        </w:numPr>
      </w:pPr>
      <w:r>
        <w:t xml:space="preserve">Grömping, U. (2007). Estimators of relative importance in linear regression based on variance decomposition.</w:t>
      </w:r>
      <w:r>
        <w:t xml:space="preserve"> </w:t>
      </w:r>
      <w:r>
        <w:rPr>
          <w:i/>
          <w:iCs/>
        </w:rPr>
        <w:t xml:space="preserve">The American Statistician</w:t>
      </w:r>
      <w:r>
        <w:t xml:space="preserve">, 61(2), 139-147. https://doi.org/10.1198/000313007X188252</w:t>
      </w:r>
    </w:p>
    <w:p>
      <w:pPr>
        <w:numPr>
          <w:ilvl w:val="0"/>
          <w:numId w:val="1009"/>
        </w:numPr>
      </w:pPr>
      <w:r>
        <w:t xml:space="preserve">International Energy Agency (IEA). (2023).</w:t>
      </w:r>
      <w:r>
        <w:t xml:space="preserve"> </w:t>
      </w:r>
      <w:r>
        <w:rPr>
          <w:i/>
          <w:iCs/>
        </w:rPr>
        <w:t xml:space="preserve">Global EV Outlook 2023: Catching up with climate ambitions</w:t>
      </w:r>
      <w:r>
        <w:t xml:space="preserve">. Paris: IEA Publications. https://www.iea.org/reports/global-ev-outlook-2023</w:t>
      </w:r>
    </w:p>
    <w:p>
      <w:pPr>
        <w:numPr>
          <w:ilvl w:val="0"/>
          <w:numId w:val="1009"/>
        </w:numPr>
      </w:pPr>
      <w:r>
        <w:t xml:space="preserve">European Environment Agency. (2021). Monitoring CO₂ emissions from passenger cars and vans in 2020.</w:t>
      </w:r>
      <w:r>
        <w:t xml:space="preserve"> </w:t>
      </w:r>
      <w:r>
        <w:rPr>
          <w:i/>
          <w:iCs/>
        </w:rPr>
        <w:t xml:space="preserve">EEA Report No 15/2021</w:t>
      </w:r>
      <w:r>
        <w:t xml:space="preserve">. https://www.eea.europa.eu/publications/monitoring-co2-emissions-from-passenger</w:t>
      </w:r>
    </w:p>
    <w:p>
      <w:pPr>
        <w:numPr>
          <w:ilvl w:val="0"/>
          <w:numId w:val="1009"/>
        </w:numPr>
      </w:pPr>
      <w:r>
        <w:t xml:space="preserve">European Commission. (2019). Regulation (EU) 2019/631 of the European Parliament and of the Council of 17 April 2019 setting CO₂ emission performance standards for new passenger cars and for new light commercial vehicles.</w:t>
      </w:r>
      <w:r>
        <w:t xml:space="preserve"> </w:t>
      </w:r>
      <w:r>
        <w:rPr>
          <w:i/>
          <w:iCs/>
        </w:rPr>
        <w:t xml:space="preserve">Official Journal of the European Union</w:t>
      </w:r>
      <w:r>
        <w:t xml:space="preserve">, L 111/13.</w:t>
      </w:r>
    </w:p>
    <w:p>
      <w:pPr>
        <w:numPr>
          <w:ilvl w:val="0"/>
          <w:numId w:val="1009"/>
        </w:numPr>
      </w:pPr>
      <w:r>
        <w:t xml:space="preserve">European Environment Agency. (2022). Monitoring CO₂ emissions from passenger cars and vans in 2021.</w:t>
      </w:r>
      <w:r>
        <w:t xml:space="preserve"> </w:t>
      </w:r>
      <w:r>
        <w:rPr>
          <w:i/>
          <w:iCs/>
        </w:rPr>
        <w:t xml:space="preserve">EEA Report No 15/2022</w:t>
      </w:r>
      <w:r>
        <w:t xml:space="preserve">. https://www.eea.europa.eu/publications/monitoring-co2-emissions-from-passenger</w:t>
      </w:r>
    </w:p>
    <w:p>
      <w:pPr>
        <w:numPr>
          <w:ilvl w:val="0"/>
          <w:numId w:val="1009"/>
        </w:numPr>
      </w:pPr>
      <w:r>
        <w:t xml:space="preserve">European Environment Agency. (2023). Monitoring CO₂ emissions from passenger cars and vans in 2022.</w:t>
      </w:r>
      <w:r>
        <w:t xml:space="preserve"> </w:t>
      </w:r>
      <w:r>
        <w:rPr>
          <w:i/>
          <w:iCs/>
        </w:rPr>
        <w:t xml:space="preserve">EEA Report No 15/2023</w:t>
      </w:r>
      <w:r>
        <w:t xml:space="preserve">. https://www.eea.europa.eu/publications/monitoring-co2-emissions-from-passenger</w:t>
      </w:r>
    </w:p>
    <w:p>
      <w:pPr>
        <w:numPr>
          <w:ilvl w:val="0"/>
          <w:numId w:val="1009"/>
        </w:numPr>
      </w:pPr>
      <w:r>
        <w:t xml:space="preserve">Tietge, U., Díaz, S., Dornoff, J., &amp; Mock, P. (2020). From laboratory to road: A 2020 update of official and</w:t>
      </w:r>
      <w:r>
        <w:t xml:space="preserve"> </w:t>
      </w:r>
      <w:r>
        <w:t xml:space="preserve">“real-world”</w:t>
      </w:r>
      <w:r>
        <w:t xml:space="preserve"> </w:t>
      </w:r>
      <w:r>
        <w:t xml:space="preserve">fuel consumption and CO₂ values for passenger cars in Europe.</w:t>
      </w:r>
      <w:r>
        <w:t xml:space="preserve"> </w:t>
      </w:r>
      <w:r>
        <w:rPr>
          <w:i/>
          <w:iCs/>
        </w:rPr>
        <w:t xml:space="preserve">International Council on Clean Transportation</w:t>
      </w:r>
      <w:r>
        <w:t xml:space="preserve">, Berlin, Germany.</w:t>
      </w:r>
    </w:p>
    <w:p>
      <w:pPr>
        <w:numPr>
          <w:ilvl w:val="0"/>
          <w:numId w:val="1009"/>
        </w:numPr>
      </w:pPr>
      <w:r>
        <w:t xml:space="preserve">Ligterink, N., &amp; Kadijk, G. (2019). Real-world fuel consumption of Euro 6 passenger cars.</w:t>
      </w:r>
      <w:r>
        <w:t xml:space="preserve"> </w:t>
      </w:r>
      <w:r>
        <w:rPr>
          <w:i/>
          <w:iCs/>
        </w:rPr>
        <w:t xml:space="preserve">TNO Report</w:t>
      </w:r>
      <w:r>
        <w:t xml:space="preserve">, TNO 2019 R10040.</w:t>
      </w:r>
    </w:p>
    <w:p>
      <w:pPr>
        <w:numPr>
          <w:ilvl w:val="0"/>
          <w:numId w:val="1009"/>
        </w:numPr>
      </w:pPr>
      <w:r>
        <w:t xml:space="preserve">Zacharof, N. G., Tietge, U., &amp; Franco, V. (2016). Review of in-use factors affecting the fuel consumption and CO₂ emissions of passenger cars.</w:t>
      </w:r>
      <w:r>
        <w:t xml:space="preserve"> </w:t>
      </w:r>
      <w:r>
        <w:rPr>
          <w:i/>
          <w:iCs/>
        </w:rPr>
        <w:t xml:space="preserve">European Commission Joint Research Centre</w:t>
      </w:r>
      <w:r>
        <w:t xml:space="preserve">, JRC103718.</w:t>
      </w:r>
    </w:p>
    <w:p>
      <w:pPr>
        <w:numPr>
          <w:ilvl w:val="0"/>
          <w:numId w:val="1009"/>
        </w:numPr>
      </w:pPr>
      <w:r>
        <w:t xml:space="preserve">Fontaras, G., Ciuffo, B., Zacharof, N., Tsiakmakis, S., Marotta, A., Pavlovic, J., &amp; Anagnostopoulos, K. (2017). The development of a worldwide harmonized light duty test procedure (WLTP) and the assessment of its stringency.</w:t>
      </w:r>
      <w:r>
        <w:t xml:space="preserve"> </w:t>
      </w:r>
      <w:r>
        <w:rPr>
          <w:i/>
          <w:iCs/>
        </w:rPr>
        <w:t xml:space="preserve">Transportation Research Part D: Transport and Environment</w:t>
      </w:r>
      <w:r>
        <w:t xml:space="preserve">, 50, 251-264. https://doi.org/10.1016/j.trd.2016.11.011</w:t>
      </w:r>
    </w:p>
    <w:p>
      <w:pPr>
        <w:numPr>
          <w:ilvl w:val="0"/>
          <w:numId w:val="1009"/>
        </w:numPr>
      </w:pPr>
      <w:r>
        <w:t xml:space="preserve">Pavlovic, J., Marotta, A., &amp; Ciuffo, B. (2016). CO₂ emissions and energy consumption of European passenger cars.</w:t>
      </w:r>
      <w:r>
        <w:t xml:space="preserve"> </w:t>
      </w:r>
      <w:r>
        <w:rPr>
          <w:i/>
          <w:iCs/>
        </w:rPr>
        <w:t xml:space="preserve">Transportation Research Part D: Transport and Environment</w:t>
      </w:r>
      <w:r>
        <w:t xml:space="preserve">, 47, 95-106. https://doi.org/10.1016/j.trd.2016.05.011</w:t>
      </w:r>
    </w:p>
    <w:p>
      <w:pPr>
        <w:numPr>
          <w:ilvl w:val="0"/>
          <w:numId w:val="1009"/>
        </w:numPr>
      </w:pPr>
      <w:r>
        <w:t xml:space="preserve">Tansini, A., Fontaras, G., Pavlovic, J., Ciuffo, B., &amp; Marotta, A. (2021). Real-world CO₂ emissions and fuel consumption of plug-in hybrid electric vehicles.</w:t>
      </w:r>
      <w:r>
        <w:t xml:space="preserve"> </w:t>
      </w:r>
      <w:r>
        <w:rPr>
          <w:i/>
          <w:iCs/>
        </w:rPr>
        <w:t xml:space="preserve">Transportation Research Part D: Transport and Environment</w:t>
      </w:r>
      <w:r>
        <w:t xml:space="preserve">, 95, 102848. https://doi.org/10.1016/j.trd.2021.102848</w:t>
      </w:r>
    </w:p>
    <w:p>
      <w:r>
        <w:pict>
          <v:rect style="width:0;height:1.5pt" o:hralign="center" o:hrstd="t" o:hr="t"/>
        </w:pict>
      </w:r>
    </w:p>
    <w:bookmarkEnd w:id="91"/>
    <w:bookmarkStart w:id="130" w:name="figure-list-reference"/>
    <w:p>
      <w:pPr>
        <w:pStyle w:val="Heading2"/>
      </w:pPr>
      <w:r>
        <w:rPr>
          <w:rStyle w:val="SectionNumber"/>
        </w:rPr>
        <w:t xml:space="preserve">1.10</w:t>
      </w:r>
      <w:r>
        <w:tab/>
      </w:r>
      <w:r>
        <w:t xml:space="preserve">Figure List (Reference)</w:t>
      </w:r>
    </w:p>
    <w:p>
      <w:pPr>
        <w:pStyle w:val="FirstParagraph"/>
      </w:pPr>
      <w:r>
        <w:rPr>
          <w:i/>
          <w:iCs/>
        </w:rPr>
        <w:t xml:space="preserve">Note: All figure captions appear inline in the text where figures are first discussed. This section provides a reference list for convenience.</w:t>
      </w:r>
    </w:p>
    <w:p>
      <w:pPr>
        <w:pStyle w:val="BodyText"/>
      </w:pPr>
      <w:r>
        <w:rPr>
          <w:b/>
          <w:bCs/>
        </w:rPr>
        <w:t xml:space="preserve">Figure 2:</w:t>
      </w:r>
      <w:r>
        <w:t xml:space="preserve"> </w:t>
      </w:r>
      <w:r>
        <w:t xml:space="preserve">EDS distribution (Section 4.1.A)</w:t>
      </w:r>
      <w:r>
        <w:br/>
      </w:r>
      <w:r>
        <w:rPr>
          <w:b/>
          <w:bCs/>
        </w:rPr>
        <w:t xml:space="preserve">Figure 3:</w:t>
      </w:r>
      <w:r>
        <w:t xml:space="preserve"> </w:t>
      </w:r>
      <w:r>
        <w:t xml:space="preserve">Energy split vs EDS (flagship relationship, Section 4.1.B)</w:t>
      </w:r>
      <w:r>
        <w:br/>
      </w:r>
      <w:r>
        <w:t xml:space="preserve">Figure 4</w:t>
      </w:r>
    </w:p>
    <w:p>
      <w:pPr>
        <w:pStyle w:val="BodyText"/>
      </w:pPr>
      <w:r>
        <w:rPr>
          <w:b/>
          <w:bCs/>
        </w:rPr>
        <w:t xml:space="preserve">Figure 4:</w:t>
      </w:r>
      <w:r>
        <w:t xml:space="preserve"> </w:t>
      </w:r>
      <w:r>
        <w:t xml:space="preserve">Regional/country heterogeneity (Section 4.1.C)</w:t>
      </w:r>
      <w:r>
        <w:br/>
      </w:r>
      <w:r>
        <w:t xml:space="preserve">Figure 5</w:t>
      </w:r>
    </w:p>
    <w:p>
      <w:pPr>
        <w:pStyle w:val="BodyText"/>
      </w:pPr>
      <w:r>
        <w:rPr>
          <w:b/>
          <w:bCs/>
        </w:rPr>
        <w:t xml:space="preserve">Figure 5:</w:t>
      </w:r>
      <w:r>
        <w:t xml:space="preserve"> </w:t>
      </w:r>
      <w:r>
        <w:t xml:space="preserve">Descriptive EDS correlates - Electric range and total mileage (Section 4.1.D)</w:t>
      </w:r>
      <w:r>
        <w:br/>
      </w:r>
      <w:r>
        <w:t xml:space="preserve">Figure 6</w:t>
      </w:r>
    </w:p>
    <w:p>
      <w:pPr>
        <w:pStyle w:val="BodyText"/>
      </w:pPr>
      <w:r>
        <w:rPr>
          <w:b/>
          <w:bCs/>
        </w:rPr>
        <w:t xml:space="preserve">Figure 6:</w:t>
      </w:r>
      <w:r>
        <w:t xml:space="preserve"> </w:t>
      </w:r>
      <w:r>
        <w:t xml:space="preserve">SHAP feature importance for EDS and energy (Section 4.2.B)</w:t>
      </w:r>
      <w:r>
        <w:br/>
      </w:r>
      <w:r>
        <w:drawing>
          <wp:inline>
            <wp:extent cx="5334000" cy="3733799"/>
            <wp:effectExtent b="0" l="0" r="0" t="0"/>
            <wp:docPr descr="Figure 7" title="" id="93" name="Picture"/>
            <a:graphic>
              <a:graphicData uri="http://schemas.openxmlformats.org/drawingml/2006/picture">
                <pic:pic>
                  <pic:nvPicPr>
                    <pic:cNvPr descr="figures/figure_conditional_energies.png" id="94" name="Picture"/>
                    <pic:cNvPicPr>
                      <a:picLocks noChangeArrowheads="1" noChangeAspect="1"/>
                    </pic:cNvPicPr>
                  </pic:nvPicPr>
                  <pic:blipFill>
                    <a:blip r:embed="rId92"/>
                    <a:stretch>
                      <a:fillRect/>
                    </a:stretch>
                  </pic:blipFill>
                  <pic:spPr bwMode="auto">
                    <a:xfrm>
                      <a:off x="0" y="0"/>
                      <a:ext cx="5334000" cy="3733799"/>
                    </a:xfrm>
                    <a:prstGeom prst="rect">
                      <a:avLst/>
                    </a:prstGeom>
                    <a:noFill/>
                    <a:ln w="9525">
                      <a:noFill/>
                      <a:headEnd/>
                      <a:tailEnd/>
                    </a:ln>
                  </pic:spPr>
                </pic:pic>
              </a:graphicData>
            </a:graphic>
          </wp:inline>
        </w:drawing>
      </w:r>
    </w:p>
    <w:p>
      <w:pPr>
        <w:pStyle w:val="BodyText"/>
      </w:pPr>
      <w:r>
        <w:rPr>
          <w:b/>
          <w:bCs/>
        </w:rPr>
        <w:t xml:space="preserve">Figure 7:</w:t>
      </w:r>
      <w:r>
        <w:t xml:space="preserve"> </w:t>
      </w:r>
      <w:r>
        <w:t xml:space="preserve">Conditional energies by electric driving share (Section 4.1.F)</w:t>
      </w:r>
      <w:r>
        <w:br/>
      </w:r>
      <w:r>
        <w:drawing>
          <wp:inline>
            <wp:extent cx="5334000" cy="3810000"/>
            <wp:effectExtent b="0" l="0" r="0" t="0"/>
            <wp:docPr descr="Figure 8" title="" id="96" name="Picture"/>
            <a:graphic>
              <a:graphicData uri="http://schemas.openxmlformats.org/drawingml/2006/picture">
                <pic:pic>
                  <pic:nvPicPr>
                    <pic:cNvPr descr="figures/figure_energy_vs_mass_by_eds.png" id="97" name="Picture"/>
                    <pic:cNvPicPr>
                      <a:picLocks noChangeArrowheads="1" noChangeAspect="1"/>
                    </pic:cNvPicPr>
                  </pic:nvPicPr>
                  <pic:blipFill>
                    <a:blip r:embed="rId9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rPr>
          <w:b/>
          <w:bCs/>
        </w:rPr>
        <w:t xml:space="preserve">Figure 8:</w:t>
      </w:r>
      <w:r>
        <w:t xml:space="preserve"> </w:t>
      </w:r>
      <w:r>
        <w:t xml:space="preserve">Energy vs mass stratified by EDS (Section 4.1.G)</w:t>
      </w:r>
      <w:r>
        <w:br/>
      </w:r>
      <w:r>
        <w:drawing>
          <wp:inline>
            <wp:extent cx="5334000" cy="4267200"/>
            <wp:effectExtent b="0" l="0" r="0" t="0"/>
            <wp:docPr descr="Figure 9" title="" id="99" name="Picture"/>
            <a:graphic>
              <a:graphicData uri="http://schemas.openxmlformats.org/drawingml/2006/picture">
                <pic:pic>
                  <pic:nvPicPr>
                    <pic:cNvPr descr="figures/figure_heatmap_eds_mass_energy.png" id="100" name="Picture"/>
                    <pic:cNvPicPr>
                      <a:picLocks noChangeArrowheads="1" noChangeAspect="1"/>
                    </pic:cNvPicPr>
                  </pic:nvPicPr>
                  <pic:blipFill>
                    <a:blip r:embed="rId9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bCs/>
        </w:rPr>
        <w:t xml:space="preserve">Figure 9:</w:t>
      </w:r>
      <w:r>
        <w:t xml:space="preserve"> </w:t>
      </w:r>
      <w:r>
        <w:t xml:space="preserve">Heatmap of energy consumption by EDS and mass (Section 4.1.G)</w:t>
      </w:r>
      <w:r>
        <w:br/>
      </w:r>
      <w:r>
        <w:drawing>
          <wp:inline>
            <wp:extent cx="5334000" cy="3733799"/>
            <wp:effectExtent b="0" l="0" r="0" t="0"/>
            <wp:docPr descr="Figure 10" title="" id="101" name="Picture"/>
            <a:graphic>
              <a:graphicData uri="http://schemas.openxmlformats.org/drawingml/2006/picture">
                <pic:pic>
                  <pic:nvPicPr>
                    <pic:cNvPr descr="figures/figure_energy_per_mass.png" id="102" name="Picture"/>
                    <pic:cNvPicPr>
                      <a:picLocks noChangeArrowheads="1" noChangeAspect="1"/>
                    </pic:cNvPicPr>
                  </pic:nvPicPr>
                  <pic:blipFill>
                    <a:blip r:embed="rId64"/>
                    <a:stretch>
                      <a:fillRect/>
                    </a:stretch>
                  </pic:blipFill>
                  <pic:spPr bwMode="auto">
                    <a:xfrm>
                      <a:off x="0" y="0"/>
                      <a:ext cx="5334000" cy="3733799"/>
                    </a:xfrm>
                    <a:prstGeom prst="rect">
                      <a:avLst/>
                    </a:prstGeom>
                    <a:noFill/>
                    <a:ln w="9525">
                      <a:noFill/>
                      <a:headEnd/>
                      <a:tailEnd/>
                    </a:ln>
                  </pic:spPr>
                </pic:pic>
              </a:graphicData>
            </a:graphic>
          </wp:inline>
        </w:drawing>
      </w:r>
    </w:p>
    <w:p>
      <w:pPr>
        <w:pStyle w:val="BodyText"/>
      </w:pPr>
      <w:r>
        <w:rPr>
          <w:b/>
          <w:bCs/>
        </w:rPr>
        <w:t xml:space="preserve">Figure 10:</w:t>
      </w:r>
      <w:r>
        <w:t xml:space="preserve"> </w:t>
      </w:r>
      <w:r>
        <w:t xml:space="preserve">Energy consumption normalized by vehicle mass (Section 4.1.G)</w:t>
      </w:r>
      <w:r>
        <w:br/>
      </w:r>
      <w:r>
        <w:rPr>
          <w:b/>
          <w:bCs/>
        </w:rPr>
        <w:t xml:space="preserve">Figures 6b-6c:</w:t>
      </w:r>
      <w:r>
        <w:t xml:space="preserve"> </w:t>
      </w:r>
      <w:r>
        <w:t xml:space="preserve">Comprehensive metrics comparison (R², RMSE, MAE, MAPE) and Train vs Test R² comparison showing generalization performance (Section 4.5.6)</w:t>
      </w:r>
      <w:r>
        <w:br/>
      </w:r>
      <w:r>
        <w:rPr>
          <w:b/>
          <w:bCs/>
        </w:rPr>
        <w:t xml:space="preserve">Figures 7a-7f:</w:t>
      </w:r>
      <w:r>
        <w:t xml:space="preserve"> </w:t>
      </w:r>
      <w:r>
        <w:t xml:space="preserve">Residual analysis (Section 4.5.5)</w:t>
      </w:r>
      <w:r>
        <w:br/>
      </w:r>
      <w:r>
        <w:rPr>
          <w:b/>
          <w:bCs/>
        </w:rPr>
        <w:t xml:space="preserve">Figures 8-17:</w:t>
      </w:r>
      <w:r>
        <w:t xml:space="preserve"> </w:t>
      </w:r>
      <w:r>
        <w:t xml:space="preserve">Comprehensive model comparison details (Section 4.5.6)</w:t>
      </w:r>
      <w:r>
        <w:br/>
      </w:r>
      <w:r>
        <w:rPr>
          <w:b/>
          <w:bCs/>
        </w:rPr>
        <w:t xml:space="preserve">Figures 18-21:</w:t>
      </w:r>
      <w:r>
        <w:t xml:space="preserve"> </w:t>
      </w:r>
      <w:r>
        <w:t xml:space="preserve">EDS country-level descriptive analysis (Section 4.8)</w:t>
      </w:r>
      <w:r>
        <w:br/>
      </w:r>
      <w:r>
        <w:drawing>
          <wp:inline>
            <wp:extent cx="5334000" cy="4000499"/>
            <wp:effectExtent b="0" l="0" r="0" t="0"/>
            <wp:docPr descr="Figure 23" title="" id="104" name="Picture"/>
            <a:graphic>
              <a:graphicData uri="http://schemas.openxmlformats.org/drawingml/2006/picture">
                <pic:pic>
                  <pic:nvPicPr>
                    <pic:cNvPr descr="figures/figure23_regional_summary.png" id="105" name="Picture"/>
                    <pic:cNvPicPr>
                      <a:picLocks noChangeArrowheads="1" noChangeAspect="1"/>
                    </pic:cNvPicPr>
                  </pic:nvPicPr>
                  <pic:blipFill>
                    <a:blip r:embed="rId103"/>
                    <a:stretch>
                      <a:fillRect/>
                    </a:stretch>
                  </pic:blipFill>
                  <pic:spPr bwMode="auto">
                    <a:xfrm>
                      <a:off x="0" y="0"/>
                      <a:ext cx="5334000" cy="4000499"/>
                    </a:xfrm>
                    <a:prstGeom prst="rect">
                      <a:avLst/>
                    </a:prstGeom>
                    <a:noFill/>
                    <a:ln w="9525">
                      <a:noFill/>
                      <a:headEnd/>
                      <a:tailEnd/>
                    </a:ln>
                  </pic:spPr>
                </pic:pic>
              </a:graphicData>
            </a:graphic>
          </wp:inline>
        </w:drawing>
      </w:r>
    </w:p>
    <w:p/>
    <w:p>
      <w:pPr>
        <w:jc w:val="center"/>
      </w:pPr>
      <w:r>
        <w:drawing>
          <wp:inline>
            <wp:extent cx="5486400" cy="4114800"/>
            <wp:docPr id="158" name="Picture 158"/>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5486400" cy="4114800"/>
                    </a:xfrm>
                    <a:prstGeom prst="rect"/>
                  </pic:spPr>
                </pic:pic>
              </a:graphicData>
            </a:graphic>
          </wp:inline>
        </w:drawing>
      </w:r>
    </w:p>
    <w:p/>
    <w:p>
      <w:pPr>
        <w:pStyle w:val="BodyText"/>
      </w:pPr>
      <w:r>
        <w:rPr>
          <w:b/>
          <w:bCs/>
        </w:rPr>
        <w:t xml:space="preserve">Figure 23:</w:t>
      </w:r>
      <w:r>
        <w:t xml:space="preserve"> </w:t>
      </w:r>
      <w:r>
        <w:t xml:space="preserve">Regional summary comparison (Section 4.8)</w:t>
      </w:r>
      <w:r>
        <w:br/>
      </w:r>
      <w:r>
        <w:rPr>
          <w:b/>
          <w:bCs/>
        </w:rPr>
        <w:t xml:space="preserve">Figures 25-26:</w:t>
      </w:r>
      <w:r>
        <w:t xml:space="preserve"> </w:t>
      </w:r>
      <w:r>
        <w:t xml:space="preserve">Choropleth maps (Section 4.8)</w:t>
      </w:r>
      <w:r>
        <w:br/>
      </w:r>
      <w:r>
        <w:drawing>
          <wp:inline>
            <wp:extent cx="5334000" cy="3200399"/>
            <wp:effectExtent b="0" l="0" r="0" t="0"/>
            <wp:docPr descr="Figure 27" title="" id="107" name="Picture"/>
            <a:graphic>
              <a:graphicData uri="http://schemas.openxmlformats.org/drawingml/2006/picture">
                <pic:pic>
                  <pic:nvPicPr>
                    <pic:cNvPr descr="figures/figure27_eds_threshold_analysis.png" id="108" name="Picture"/>
                    <pic:cNvPicPr>
                      <a:picLocks noChangeArrowheads="1" noChangeAspect="1"/>
                    </pic:cNvPicPr>
                  </pic:nvPicPr>
                  <pic:blipFill>
                    <a:blip r:embed="rId106"/>
                    <a:stretch>
                      <a:fillRect/>
                    </a:stretch>
                  </pic:blipFill>
                  <pic:spPr bwMode="auto">
                    <a:xfrm>
                      <a:off x="0" y="0"/>
                      <a:ext cx="5334000" cy="3200399"/>
                    </a:xfrm>
                    <a:prstGeom prst="rect">
                      <a:avLst/>
                    </a:prstGeom>
                    <a:noFill/>
                    <a:ln w="9525">
                      <a:noFill/>
                      <a:headEnd/>
                      <a:tailEnd/>
                    </a:ln>
                  </pic:spPr>
                </pic:pic>
              </a:graphicData>
            </a:graphic>
          </wp:inline>
        </w:drawing>
      </w:r>
    </w:p>
    <w:p>
      <w:pPr>
        <w:jc w:val="center"/>
      </w:pPr>
      <w:r>
        <w:drawing>
          <wp:inline>
            <wp:extent cx="5486400" cy="3291840"/>
            <wp:docPr id="157" name="Picture 157"/>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5486400" cy="3291840"/>
                    </a:xfrm>
                    <a:prstGeom prst="rect"/>
                  </pic:spPr>
                </pic:pic>
              </a:graphicData>
            </a:graphic>
          </wp:inline>
        </w:drawing>
      </w:r>
    </w:p>
    <w:p>
      <w:pPr>
        <w:pStyle w:val="BodyText"/>
      </w:pPr>
      <w:r>
        <w:rPr>
          <w:b/>
          <w:bCs/>
        </w:rPr>
        <w:t xml:space="preserve">Figure 27:</w:t>
      </w:r>
      <w:r>
        <w:t xml:space="preserve"> </w:t>
      </w:r>
      <w:r>
        <w:t xml:space="preserve">EDS threshold analysis (Section 4.8.1)</w:t>
      </w:r>
      <w:r>
        <w:br/>
      </w:r>
      <w:r>
        <w:rPr>
          <w:b/>
          <w:bCs/>
        </w:rPr>
        <w:t xml:space="preserve">Figures 28-29:</w:t>
      </w:r>
      <w:r>
        <w:t xml:space="preserve"> </w:t>
      </w:r>
      <w:r>
        <w:t xml:space="preserve">Battery capacity and vehicle segment analysis (Sections 4.8.3-4.8.4)</w:t>
      </w:r>
      <w:r>
        <w:br/>
      </w:r>
      <w:r>
        <w:drawing>
          <wp:inline>
            <wp:extent cx="5334000" cy="3556000"/>
            <wp:effectExtent b="0" l="0" r="0" t="0"/>
            <wp:docPr descr="Figure 30" title="" id="110" name="Picture"/>
            <a:graphic>
              <a:graphicData uri="http://schemas.openxmlformats.org/drawingml/2006/picture">
                <pic:pic>
                  <pic:nvPicPr>
                    <pic:cNvPr descr="figures/figure30_model_specific_eds.png" id="111" name="Picture"/>
                    <pic:cNvPicPr>
                      <a:picLocks noChangeArrowheads="1" noChangeAspect="1"/>
                    </pic:cNvPicPr>
                  </pic:nvPicPr>
                  <pic:blipFill>
                    <a:blip r:embed="rId109"/>
                    <a:stretch>
                      <a:fillRect/>
                    </a:stretch>
                  </pic:blipFill>
                  <pic:spPr bwMode="auto">
                    <a:xfrm>
                      <a:off x="0" y="0"/>
                      <a:ext cx="5334000" cy="3556000"/>
                    </a:xfrm>
                    <a:prstGeom prst="rect">
                      <a:avLst/>
                    </a:prstGeom>
                    <a:noFill/>
                    <a:ln w="9525">
                      <a:noFill/>
                      <a:headEnd/>
                      <a:tailEnd/>
                    </a:ln>
                  </pic:spPr>
                </pic:pic>
              </a:graphicData>
            </a:graphic>
          </wp:inline>
        </w:drawing>
      </w:r>
    </w:p>
    <w:p/>
    <w:p>
      <w:pPr>
        <w:jc w:val="center"/>
      </w:pPr>
      <w:r>
        <w:drawing>
          <wp:inline>
            <wp:extent cx="5486400" cy="3657600"/>
            <wp:docPr id="156" name="Picture 156"/>
            <wp:cNvGraphicFramePr>
              <a:graphicFrameLocks noChangeAspect="1"/>
            </wp:cNvGraphicFramePr>
            <a:graphic>
              <a:graphicData uri="http://schemas.openxmlformats.org/drawingml/2006/picture">
                <pic:pic>
                  <pic:nvPicPr>
                    <pic:cNvPr id="0" name="image.png"/>
                    <pic:cNvPicPr/>
                  </pic:nvPicPr>
                  <pic:blipFill>
                    <a:blip r:embed="rId109"/>
                    <a:stretch>
                      <a:fillRect/>
                    </a:stretch>
                  </pic:blipFill>
                  <pic:spPr>
                    <a:xfrm>
                      <a:off x="0" y="0"/>
                      <a:ext cx="5486400" cy="3657600"/>
                    </a:xfrm>
                    <a:prstGeom prst="rect"/>
                  </pic:spPr>
                </pic:pic>
              </a:graphicData>
            </a:graphic>
          </wp:inline>
        </w:drawing>
      </w:r>
    </w:p>
    <w:p/>
    <w:p>
      <w:pPr>
        <w:pStyle w:val="BodyText"/>
      </w:pPr>
      <w:r>
        <w:rPr>
          <w:b/>
          <w:bCs/>
        </w:rPr>
        <w:t xml:space="preserve">Figure 30:</w:t>
      </w:r>
      <w:r>
        <w:t xml:space="preserve"> </w:t>
      </w:r>
      <w:r>
        <w:t xml:space="preserve">Model-specific EDS variability (Section 4.8.2)</w:t>
      </w:r>
      <w:r>
        <w:br/>
      </w:r>
      <w:r>
        <w:drawing>
          <wp:inline>
            <wp:extent cx="5334000" cy="3200399"/>
            <wp:effectExtent b="0" l="0" r="0" t="0"/>
            <wp:docPr descr="Figure 31" title="" id="113" name="Picture"/>
            <a:graphic>
              <a:graphicData uri="http://schemas.openxmlformats.org/drawingml/2006/picture">
                <pic:pic>
                  <pic:nvPicPr>
                    <pic:cNvPr descr="figures/figure31_charging_behavior.png" id="114" name="Picture"/>
                    <pic:cNvPicPr>
                      <a:picLocks noChangeArrowheads="1" noChangeAspect="1"/>
                    </pic:cNvPicPr>
                  </pic:nvPicPr>
                  <pic:blipFill>
                    <a:blip r:embed="rId112"/>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55" name="Picture 155"/>
            <wp:cNvGraphicFramePr>
              <a:graphicFrameLocks noChangeAspect="1"/>
            </wp:cNvGraphicFramePr>
            <a:graphic>
              <a:graphicData uri="http://schemas.openxmlformats.org/drawingml/2006/picture">
                <pic:pic>
                  <pic:nvPicPr>
                    <pic:cNvPr id="0" name="image.png"/>
                    <pic:cNvPicPr/>
                  </pic:nvPicPr>
                  <pic:blipFill>
                    <a:blip r:embed="rId112"/>
                    <a:stretch>
                      <a:fillRect/>
                    </a:stretch>
                  </pic:blipFill>
                  <pic:spPr>
                    <a:xfrm>
                      <a:off x="0" y="0"/>
                      <a:ext cx="5486400" cy="3291840"/>
                    </a:xfrm>
                    <a:prstGeom prst="rect"/>
                  </pic:spPr>
                </pic:pic>
              </a:graphicData>
            </a:graphic>
          </wp:inline>
        </w:drawing>
      </w:r>
    </w:p>
    <w:p/>
    <w:p>
      <w:pPr>
        <w:pStyle w:val="BodyText"/>
      </w:pPr>
      <w:r>
        <w:rPr>
          <w:b/>
          <w:bCs/>
        </w:rPr>
        <w:t xml:space="preserve">Figure 31:</w:t>
      </w:r>
      <w:r>
        <w:t xml:space="preserve"> </w:t>
      </w:r>
      <w:r>
        <w:t xml:space="preserve">Charging behavior indicators (Section 4.8.5)</w:t>
      </w:r>
      <w:r>
        <w:br/>
      </w:r>
      <w:r>
        <w:drawing>
          <wp:inline>
            <wp:extent cx="5334000" cy="4000499"/>
            <wp:effectExtent b="0" l="0" r="0" t="0"/>
            <wp:docPr descr="Figure 32" title="" id="116" name="Picture"/>
            <a:graphic>
              <a:graphicData uri="http://schemas.openxmlformats.org/drawingml/2006/picture">
                <pic:pic>
                  <pic:nvPicPr>
                    <pic:cNvPr descr="figures/figure32_north_south_divide.png" id="117" name="Picture"/>
                    <pic:cNvPicPr>
                      <a:picLocks noChangeArrowheads="1" noChangeAspect="1"/>
                    </pic:cNvPicPr>
                  </pic:nvPicPr>
                  <pic:blipFill>
                    <a:blip r:embed="rId115"/>
                    <a:stretch>
                      <a:fillRect/>
                    </a:stretch>
                  </pic:blipFill>
                  <pic:spPr bwMode="auto">
                    <a:xfrm>
                      <a:off x="0" y="0"/>
                      <a:ext cx="5334000" cy="4000499"/>
                    </a:xfrm>
                    <a:prstGeom prst="rect">
                      <a:avLst/>
                    </a:prstGeom>
                    <a:noFill/>
                    <a:ln w="9525">
                      <a:noFill/>
                      <a:headEnd/>
                      <a:tailEnd/>
                    </a:ln>
                  </pic:spPr>
                </pic:pic>
              </a:graphicData>
            </a:graphic>
          </wp:inline>
        </w:drawing>
      </w:r>
    </w:p>
    <w:p/>
    <w:p>
      <w:pPr>
        <w:jc w:val="center"/>
      </w:pPr>
      <w:r>
        <w:drawing>
          <wp:inline>
            <wp:extent cx="5486400" cy="4114800"/>
            <wp:docPr id="154" name="Picture 154"/>
            <wp:cNvGraphicFramePr>
              <a:graphicFrameLocks noChangeAspect="1"/>
            </wp:cNvGraphicFramePr>
            <a:graphic>
              <a:graphicData uri="http://schemas.openxmlformats.org/drawingml/2006/picture">
                <pic:pic>
                  <pic:nvPicPr>
                    <pic:cNvPr id="0" name="image.png"/>
                    <pic:cNvPicPr/>
                  </pic:nvPicPr>
                  <pic:blipFill>
                    <a:blip r:embed="rId115"/>
                    <a:stretch>
                      <a:fillRect/>
                    </a:stretch>
                  </pic:blipFill>
                  <pic:spPr>
                    <a:xfrm>
                      <a:off x="0" y="0"/>
                      <a:ext cx="5486400" cy="4114800"/>
                    </a:xfrm>
                    <a:prstGeom prst="rect"/>
                  </pic:spPr>
                </pic:pic>
              </a:graphicData>
            </a:graphic>
          </wp:inline>
        </w:drawing>
      </w:r>
    </w:p>
    <w:p/>
    <w:p>
      <w:pPr>
        <w:pStyle w:val="BodyText"/>
      </w:pPr>
      <w:r>
        <w:rPr>
          <w:b/>
          <w:bCs/>
        </w:rPr>
        <w:t xml:space="preserve">Figure 32:</w:t>
      </w:r>
      <w:r>
        <w:t xml:space="preserve"> </w:t>
      </w:r>
      <w:r>
        <w:t xml:space="preserve">North-South divide comparison (Section 4.8.6)</w:t>
      </w:r>
      <w:r>
        <w:br/>
      </w:r>
      <w:r>
        <w:drawing>
          <wp:inline>
            <wp:extent cx="5334000" cy="3200399"/>
            <wp:effectExtent b="0" l="0" r="0" t="0"/>
            <wp:docPr descr="Figure 33" title="" id="119" name="Picture"/>
            <a:graphic>
              <a:graphicData uri="http://schemas.openxmlformats.org/drawingml/2006/picture">
                <pic:pic>
                  <pic:nvPicPr>
                    <pic:cNvPr descr="figures/figure33_regression_results.png" id="120" name="Picture"/>
                    <pic:cNvPicPr>
                      <a:picLocks noChangeArrowheads="1" noChangeAspect="1"/>
                    </pic:cNvPicPr>
                  </pic:nvPicPr>
                  <pic:blipFill>
                    <a:blip r:embed="rId118"/>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53" name="Picture 153"/>
            <wp:cNvGraphicFramePr>
              <a:graphicFrameLocks noChangeAspect="1"/>
            </wp:cNvGraphicFramePr>
            <a:graphic>
              <a:graphicData uri="http://schemas.openxmlformats.org/drawingml/2006/picture">
                <pic:pic>
                  <pic:nvPicPr>
                    <pic:cNvPr id="0" name="image.png"/>
                    <pic:cNvPicPr/>
                  </pic:nvPicPr>
                  <pic:blipFill>
                    <a:blip r:embed="rId118"/>
                    <a:stretch>
                      <a:fillRect/>
                    </a:stretch>
                  </pic:blipFill>
                  <pic:spPr>
                    <a:xfrm>
                      <a:off x="0" y="0"/>
                      <a:ext cx="5486400" cy="3291840"/>
                    </a:xfrm>
                    <a:prstGeom prst="rect"/>
                  </pic:spPr>
                </pic:pic>
              </a:graphicData>
            </a:graphic>
          </wp:inline>
        </w:drawing>
      </w:r>
    </w:p>
    <w:p/>
    <w:p>
      <w:pPr>
        <w:pStyle w:val="BodyText"/>
      </w:pPr>
      <w:r>
        <w:rPr>
          <w:b/>
          <w:bCs/>
        </w:rPr>
        <w:t xml:space="preserve">Figure 33:</w:t>
      </w:r>
      <w:r>
        <w:t xml:space="preserve"> </w:t>
      </w:r>
      <w:r>
        <w:t xml:space="preserve">Country-level regression results (Section 4.8.7)</w:t>
      </w:r>
      <w:r>
        <w:br/>
      </w:r>
      <w:r>
        <w:drawing>
          <wp:inline>
            <wp:extent cx="5334000" cy="3200399"/>
            <wp:effectExtent b="0" l="0" r="0" t="0"/>
            <wp:docPr descr="Figure 34" title="" id="122" name="Picture"/>
            <a:graphic>
              <a:graphicData uri="http://schemas.openxmlformats.org/drawingml/2006/picture">
                <pic:pic>
                  <pic:nvPicPr>
                    <pic:cNvPr descr="figures/figure34_eds_prediction_performance.png" id="123" name="Picture"/>
                    <pic:cNvPicPr>
                      <a:picLocks noChangeArrowheads="1" noChangeAspect="1"/>
                    </pic:cNvPicPr>
                  </pic:nvPicPr>
                  <pic:blipFill>
                    <a:blip r:embed="rId121"/>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52" name="Picture 152"/>
            <wp:cNvGraphicFramePr>
              <a:graphicFrameLocks noChangeAspect="1"/>
            </wp:cNvGraphicFramePr>
            <a:graphic>
              <a:graphicData uri="http://schemas.openxmlformats.org/drawingml/2006/picture">
                <pic:pic>
                  <pic:nvPicPr>
                    <pic:cNvPr id="0" name="image.png"/>
                    <pic:cNvPicPr/>
                  </pic:nvPicPr>
                  <pic:blipFill>
                    <a:blip r:embed="rId121"/>
                    <a:stretch>
                      <a:fillRect/>
                    </a:stretch>
                  </pic:blipFill>
                  <pic:spPr>
                    <a:xfrm>
                      <a:off x="0" y="0"/>
                      <a:ext cx="5486400" cy="3291840"/>
                    </a:xfrm>
                    <a:prstGeom prst="rect"/>
                  </pic:spPr>
                </pic:pic>
              </a:graphicData>
            </a:graphic>
          </wp:inline>
        </w:drawing>
      </w:r>
    </w:p>
    <w:p/>
    <w:p>
      <w:pPr>
        <w:pStyle w:val="BodyText"/>
      </w:pPr>
      <w:r>
        <w:rPr>
          <w:b/>
          <w:bCs/>
        </w:rPr>
        <w:t xml:space="preserve">Figure 34:</w:t>
      </w:r>
      <w:r>
        <w:t xml:space="preserve"> </w:t>
      </w:r>
      <w:r>
        <w:t xml:space="preserve">Individual vehicle-level EDS prediction (Section 4.8.8)</w:t>
      </w:r>
      <w:r>
        <w:br/>
      </w:r>
      <w:r>
        <w:drawing>
          <wp:inline>
            <wp:extent cx="5334000" cy="3200399"/>
            <wp:effectExtent b="0" l="0" r="0" t="0"/>
            <wp:docPr descr="Figure 35" title="" id="125" name="Picture"/>
            <a:graphic>
              <a:graphicData uri="http://schemas.openxmlformats.org/drawingml/2006/picture">
                <pic:pic>
                  <pic:nvPicPr>
                    <pic:cNvPr descr="figures/figure35_temporal_trends.png" id="126" name="Picture"/>
                    <pic:cNvPicPr>
                      <a:picLocks noChangeArrowheads="1" noChangeAspect="1"/>
                    </pic:cNvPicPr>
                  </pic:nvPicPr>
                  <pic:blipFill>
                    <a:blip r:embed="rId124"/>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51" name="Picture 151"/>
            <wp:cNvGraphicFramePr>
              <a:graphicFrameLocks noChangeAspect="1"/>
            </wp:cNvGraphicFramePr>
            <a:graphic>
              <a:graphicData uri="http://schemas.openxmlformats.org/drawingml/2006/picture">
                <pic:pic>
                  <pic:nvPicPr>
                    <pic:cNvPr id="0" name="image.png"/>
                    <pic:cNvPicPr/>
                  </pic:nvPicPr>
                  <pic:blipFill>
                    <a:blip r:embed="rId124"/>
                    <a:stretch>
                      <a:fillRect/>
                    </a:stretch>
                  </pic:blipFill>
                  <pic:spPr>
                    <a:xfrm>
                      <a:off x="0" y="0"/>
                      <a:ext cx="5486400" cy="3291840"/>
                    </a:xfrm>
                    <a:prstGeom prst="rect"/>
                  </pic:spPr>
                </pic:pic>
              </a:graphicData>
            </a:graphic>
          </wp:inline>
        </w:drawing>
      </w:r>
    </w:p>
    <w:p/>
    <w:p>
      <w:pPr>
        <w:pStyle w:val="BodyText"/>
      </w:pPr>
      <w:r>
        <w:rPr>
          <w:b/>
          <w:bCs/>
        </w:rPr>
        <w:t xml:space="preserve">Figure 35:</w:t>
      </w:r>
      <w:r>
        <w:t xml:space="preserve"> </w:t>
      </w:r>
      <w:r>
        <w:t xml:space="preserve">Temporal analysis (Section 4.8.9)</w:t>
      </w:r>
      <w:r>
        <w:br/>
      </w:r>
      <w:r>
        <w:drawing>
          <wp:inline>
            <wp:extent cx="5334000" cy="3200399"/>
            <wp:effectExtent b="0" l="0" r="0" t="0"/>
            <wp:docPr descr="Figure 36" title="" id="128" name="Picture"/>
            <a:graphic>
              <a:graphicData uri="http://schemas.openxmlformats.org/drawingml/2006/picture">
                <pic:pic>
                  <pic:nvPicPr>
                    <pic:cNvPr descr="figures/figure36_infrastructure_vs_eds.png" id="129" name="Picture"/>
                    <pic:cNvPicPr>
                      <a:picLocks noChangeArrowheads="1" noChangeAspect="1"/>
                    </pic:cNvPicPr>
                  </pic:nvPicPr>
                  <pic:blipFill>
                    <a:blip r:embed="rId127"/>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50" name="Picture 150"/>
            <wp:cNvGraphicFramePr>
              <a:graphicFrameLocks noChangeAspect="1"/>
            </wp:cNvGraphicFramePr>
            <a:graphic>
              <a:graphicData uri="http://schemas.openxmlformats.org/drawingml/2006/picture">
                <pic:pic>
                  <pic:nvPicPr>
                    <pic:cNvPr id="0" name="image.png"/>
                    <pic:cNvPicPr/>
                  </pic:nvPicPr>
                  <pic:blipFill>
                    <a:blip r:embed="rId127"/>
                    <a:stretch>
                      <a:fillRect/>
                    </a:stretch>
                  </pic:blipFill>
                  <pic:spPr>
                    <a:xfrm>
                      <a:off x="0" y="0"/>
                      <a:ext cx="5486400" cy="3291840"/>
                    </a:xfrm>
                    <a:prstGeom prst="rect"/>
                  </pic:spPr>
                </pic:pic>
              </a:graphicData>
            </a:graphic>
          </wp:inline>
        </w:drawing>
      </w:r>
    </w:p>
    <w:p>
      <w:pPr>
        <w:pStyle w:val="BodyText"/>
      </w:pPr>
      <w:r>
        <w:rPr>
          <w:b/>
          <w:bCs/>
        </w:rPr>
        <w:t xml:space="preserve">Figure 36:</w:t>
      </w:r>
      <w:r>
        <w:t xml:space="preserve"> </w:t>
      </w:r>
      <w:r>
        <w:t xml:space="preserve">Charging infrastructure analysis (Section 4.8.10)</w:t>
      </w:r>
    </w:p>
    <w:p>
      <w:pPr>
        <w:pStyle w:val="BodyText"/>
      </w:pPr>
      <w:r>
        <w:rPr>
          <w:i/>
          <w:iCs/>
        </w:rPr>
        <w:t xml:space="preserve">Note: Figures 22 and 24 were not generated due to insufficient data (temperature data merging issues and no countries with EDS &gt;50% at country level).</w:t>
      </w:r>
    </w:p>
    <w:p>
      <w:r>
        <w:pict>
          <v:rect style="width:0;height:1.5pt" o:hralign="center" o:hrstd="t" o:hr="t"/>
        </w:pict>
      </w:r>
    </w:p>
    <w:bookmarkEnd w:id="130"/>
    <w:bookmarkStart w:id="131" w:name="table-list-reference"/>
    <w:p>
      <w:pPr>
        <w:pStyle w:val="Heading2"/>
      </w:pPr>
      <w:r>
        <w:rPr>
          <w:rStyle w:val="SectionNumber"/>
        </w:rPr>
        <w:t xml:space="preserve">1.11</w:t>
      </w:r>
      <w:r>
        <w:tab/>
      </w:r>
      <w:r>
        <w:t xml:space="preserve">Table List (Reference)</w:t>
      </w:r>
    </w:p>
    <w:p>
      <w:pPr>
        <w:pStyle w:val="FirstParagraph"/>
      </w:pPr>
      <w:r>
        <w:rPr>
          <w:i/>
          <w:iCs/>
        </w:rPr>
        <w:t xml:space="preserve">Note: All table captions appear inline in the text where tables are first discussed. This section provides a reference list for convenience.</w:t>
      </w:r>
    </w:p>
    <w:p>
      <w:pPr>
        <w:pStyle w:val="BodyText"/>
      </w:pPr>
      <w:r>
        <w:rPr>
          <w:b/>
          <w:bCs/>
        </w:rPr>
        <w:t xml:space="preserve">Table 1:</w:t>
      </w:r>
      <w:r>
        <w:t xml:space="preserve"> </w:t>
      </w:r>
      <w:r>
        <w:t xml:space="preserve">Dataset overview showing sample sizes, geographic coverage, and data availability by year for OBFCM 2021-2023 PHEV data (Section 4.1).</w:t>
      </w:r>
    </w:p>
    <w:p>
      <w:pPr>
        <w:pStyle w:val="BodyText"/>
      </w:pPr>
      <w:r>
        <w:rPr>
          <w:b/>
          <w:bCs/>
        </w:rPr>
        <w:t xml:space="preserve">Table 2:</w:t>
      </w:r>
      <w:r>
        <w:t xml:space="preserve"> </w:t>
      </w:r>
      <w:r>
        <w:t xml:space="preserve">Summary statistics (mean, median, standard deviation, percentiles) for key variables: total energy consumption, EDS, vehicle mass, and all-electric range (Section 4.2.1).</w:t>
      </w:r>
    </w:p>
    <w:p>
      <w:pPr>
        <w:pStyle w:val="BodyText"/>
      </w:pPr>
      <w:r>
        <w:rPr>
          <w:b/>
          <w:bCs/>
        </w:rPr>
        <w:t xml:space="preserve">Table 3:</w:t>
      </w:r>
      <w:r>
        <w:t xml:space="preserve"> </w:t>
      </w:r>
      <w:r>
        <w:t xml:space="preserve">Model comparison showing R² and deviance explained for different modeling approaches (Section 4.5.1).</w:t>
      </w:r>
    </w:p>
    <w:p>
      <w:pPr>
        <w:pStyle w:val="BodyText"/>
      </w:pPr>
      <w:r>
        <w:rPr>
          <w:b/>
          <w:bCs/>
        </w:rPr>
        <w:t xml:space="preserve">Table 4:</w:t>
      </w:r>
      <w:r>
        <w:t xml:space="preserve"> </w:t>
      </w:r>
      <w:r>
        <w:t xml:space="preserve">Variable importance from GAM model (F-statistics) (Section 4.5.2). Also: Statistical comparison between fleet-level (OBFCM) and campaign data (Section 4.7).</w:t>
      </w:r>
    </w:p>
    <w:p>
      <w:pPr>
        <w:pStyle w:val="BodyText"/>
      </w:pPr>
      <w:r>
        <w:rPr>
          <w:b/>
          <w:bCs/>
        </w:rPr>
        <w:t xml:space="preserve">Table 5:</w:t>
      </w:r>
      <w:r>
        <w:t xml:space="preserve"> </w:t>
      </w:r>
      <w:r>
        <w:t xml:space="preserve">Comprehensive model comparison showing train and test R², test RMSE, and key hyperparameters for all methods (Section 4.5.6).</w:t>
      </w:r>
    </w:p>
    <w:p>
      <w:pPr>
        <w:pStyle w:val="BodyText"/>
      </w:pPr>
      <w:r>
        <w:rPr>
          <w:b/>
          <w:bCs/>
        </w:rPr>
        <w:t xml:space="preserve">Table 6:</w:t>
      </w:r>
      <w:r>
        <w:t xml:space="preserve"> </w:t>
      </w:r>
      <w:r>
        <w:t xml:space="preserve">Country-level EDS summary by region showing mean EDS, median EDS, mean energy consumption, and number of countries per region (Section 4.8).</w:t>
      </w:r>
    </w:p>
    <w:p>
      <w:pPr>
        <w:pStyle w:val="BodyText"/>
      </w:pPr>
      <w:r>
        <w:rPr>
          <w:b/>
          <w:bCs/>
        </w:rPr>
        <w:t xml:space="preserve">Table 7:</w:t>
      </w:r>
      <w:r>
        <w:t xml:space="preserve"> </w:t>
      </w:r>
      <w:r>
        <w:t xml:space="preserve">EDS threshold analysis showing vehicle counts and mean characteristics by EDS category and region (Section 4.8.1).</w:t>
      </w:r>
    </w:p>
    <w:p>
      <w:pPr>
        <w:pStyle w:val="BodyText"/>
      </w:pPr>
      <w:r>
        <w:rPr>
          <w:b/>
          <w:bCs/>
        </w:rPr>
        <w:t xml:space="preserve">Table 8:</w:t>
      </w:r>
      <w:r>
        <w:t xml:space="preserve"> </w:t>
      </w:r>
      <w:r>
        <w:t xml:space="preserve">Top 10 vehicle models by count (same mass/AER) showing EDS variability (Section 4.8.2).</w:t>
      </w:r>
    </w:p>
    <w:p>
      <w:pPr>
        <w:pStyle w:val="BodyText"/>
      </w:pPr>
      <w:r>
        <w:rPr>
          <w:b/>
          <w:bCs/>
        </w:rPr>
        <w:t xml:space="preserve">Table 9:</w:t>
      </w:r>
      <w:r>
        <w:t xml:space="preserve"> </w:t>
      </w:r>
      <w:r>
        <w:t xml:space="preserve">Battery capacity analysis showing EDS and energy consumption by battery size category (Section 4.8.3).</w:t>
      </w:r>
    </w:p>
    <w:p>
      <w:pPr>
        <w:pStyle w:val="BodyText"/>
      </w:pPr>
      <w:r>
        <w:rPr>
          <w:b/>
          <w:bCs/>
        </w:rPr>
        <w:t xml:space="preserve">Table 10:</w:t>
      </w:r>
      <w:r>
        <w:t xml:space="preserve"> </w:t>
      </w:r>
      <w:r>
        <w:t xml:space="preserve">Vehicle segment analysis showing EDS and energy consumption by segment and region (top segments) (Section 4.8.4).</w:t>
      </w:r>
    </w:p>
    <w:p>
      <w:pPr>
        <w:pStyle w:val="BodyText"/>
      </w:pPr>
      <w:r>
        <w:rPr>
          <w:b/>
          <w:bCs/>
        </w:rPr>
        <w:t xml:space="preserve">Table 11:</w:t>
      </w:r>
      <w:r>
        <w:t xml:space="preserve"> </w:t>
      </w:r>
      <w:r>
        <w:t xml:space="preserve">North-South comparison showing mean EDS, energy consumption, and temperature (Section 4.8.6).</w:t>
      </w:r>
    </w:p>
    <w:p>
      <w:pPr>
        <w:pStyle w:val="BodyText"/>
      </w:pPr>
      <w:r>
        <w:rPr>
          <w:b/>
          <w:bCs/>
        </w:rPr>
        <w:t xml:space="preserve">Table 12:</w:t>
      </w:r>
      <w:r>
        <w:t xml:space="preserve"> </w:t>
      </w:r>
      <w:r>
        <w:t xml:space="preserve">Country-level regression model results (Model 1: mean_EDS ~ region + battery + AER + mass) (Section 4.8.7).</w:t>
      </w:r>
    </w:p>
    <w:p>
      <w:pPr>
        <w:pStyle w:val="BodyText"/>
      </w:pPr>
      <w:r>
        <w:rPr>
          <w:b/>
          <w:bCs/>
        </w:rPr>
        <w:t xml:space="preserve">Table 13:</w:t>
      </w:r>
      <w:r>
        <w:t xml:space="preserve"> </w:t>
      </w:r>
      <w:r>
        <w:t xml:space="preserve">Individual vehicle-level EDS prediction model performance (Section 4.8.8).</w:t>
      </w:r>
    </w:p>
    <w:p>
      <w:pPr>
        <w:pStyle w:val="BodyText"/>
      </w:pPr>
      <w:r>
        <w:rPr>
          <w:b/>
          <w:bCs/>
        </w:rPr>
        <w:t xml:space="preserve">Table 14:</w:t>
      </w:r>
      <w:r>
        <w:t xml:space="preserve"> </w:t>
      </w:r>
      <w:r>
        <w:t xml:space="preserve">Cohort analysis showing EDS by registration year and region (Section 4.8.9).</w:t>
      </w:r>
    </w:p>
    <w:p>
      <w:pPr>
        <w:pStyle w:val="BodyText"/>
      </w:pPr>
      <w:r>
        <w:rPr>
          <w:b/>
          <w:bCs/>
        </w:rPr>
        <w:t xml:space="preserve">Table 15:</w:t>
      </w:r>
      <w:r>
        <w:t xml:space="preserve"> </w:t>
      </w:r>
      <w:r>
        <w:t xml:space="preserve">Charging infrastructure analysis results (Section 4.8.10).</w:t>
      </w:r>
    </w:p>
    <w:p>
      <w:pPr>
        <w:pStyle w:val="BodyText"/>
      </w:pPr>
      <w:r>
        <w:rPr>
          <w:b/>
          <w:bCs/>
        </w:rPr>
        <w:t xml:space="preserve">Table 16:</w:t>
      </w:r>
      <w:r>
        <w:t xml:space="preserve"> </w:t>
      </w:r>
      <w:r>
        <w:t xml:space="preserve">EDS by infrastructure level (Low/Medium/High charge points) (Section 4.8.10).</w:t>
      </w:r>
    </w:p>
    <w:p>
      <w:r>
        <w:pict>
          <v:rect style="width:0;height:1.5pt" o:hralign="center" o:hrstd="t" o:hr="t"/>
        </w:pict>
      </w:r>
    </w:p>
    <w:p>
      <w:pPr>
        <w:pStyle w:val="FirstParagraph"/>
      </w:pPr>
      <w:r>
        <w:rPr>
          <w:b/>
          <w:bCs/>
        </w:rPr>
        <w:t xml:space="preserve">Word Count:</w:t>
      </w:r>
      <w:r>
        <w:t xml:space="preserve"> </w:t>
      </w:r>
      <w:r>
        <w:t xml:space="preserve">14,021 words (excluding references, figure/table captions, and appendix)</w:t>
      </w:r>
    </w:p>
    <w:p>
      <w:r>
        <w:pict>
          <v:rect style="width:0;height:1.5pt" o:hralign="center" o:hrstd="t" o:hr="t"/>
        </w:pict>
      </w:r>
    </w:p>
    <w:p>
      <w:pPr>
        <w:pStyle w:val="FirstParagraph"/>
      </w:pPr>
      <w:r>
        <w:rPr>
          <w:b/>
          <w:bCs/>
        </w:rPr>
        <w:t xml:space="preserve">Last Updated:</w:t>
      </w:r>
      <w:r>
        <w:t xml:space="preserve"> </w:t>
      </w:r>
      <w:r>
        <w:t xml:space="preserve">January 14, 2025</w:t>
      </w:r>
      <w:r>
        <w:br/>
      </w:r>
      <w:r>
        <w:rPr>
          <w:b/>
          <w:bCs/>
        </w:rPr>
        <w:t xml:space="preserve">Status:</w:t>
      </w:r>
      <w:r>
        <w:t xml:space="preserve"> </w:t>
      </w:r>
      <w:r>
        <w:t xml:space="preserve">Draft complete with comprehensive analysis. Remaining: Reference completion (5 references need details), author info (ORCiD), and placeholder sections (4.3, 4.4, 4.7 - waiting for external data).</w:t>
      </w:r>
      <w:r>
        <w:br/>
      </w:r>
      <w:r>
        <w:rPr>
          <w:b/>
          <w:bCs/>
        </w:rPr>
        <w:t xml:space="preserve">Word Count:</w:t>
      </w:r>
      <w:r>
        <w:t xml:space="preserve"> </w:t>
      </w:r>
      <w:r>
        <w:t xml:space="preserve">13,569 words (excluding references, figure/table captions, and appendix)</w:t>
      </w:r>
    </w:p>
    <w:p>
      <w:r>
        <w:pict>
          <v:rect style="width:0;height:1.5pt" o:hralign="center" o:hrstd="t" o:hr="t"/>
        </w:pict>
      </w:r>
    </w:p>
    <w:bookmarkEnd w:id="131"/>
    <w:bookmarkStart w:id="136" w:name="remaining-tasks"/>
    <w:p>
      <w:pPr>
        <w:pStyle w:val="Heading2"/>
      </w:pPr>
      <w:r>
        <w:rPr>
          <w:rStyle w:val="SectionNumber"/>
        </w:rPr>
        <w:t xml:space="preserve">1.12</w:t>
      </w:r>
      <w:r>
        <w:tab/>
      </w:r>
      <w:r>
        <w:t xml:space="preserve">Remaining Tasks</w:t>
      </w:r>
    </w:p>
    <w:bookmarkStart w:id="132" w:name="high-priority"/>
    <w:p>
      <w:pPr>
        <w:pStyle w:val="Heading3"/>
      </w:pPr>
      <w:r>
        <w:rPr>
          <w:rStyle w:val="SectionNumber"/>
        </w:rPr>
        <w:t xml:space="preserve">1.12.1</w:t>
      </w:r>
      <w:r>
        <w:tab/>
      </w:r>
      <w:r>
        <w:t xml:space="preserve">🔴 High Priority</w:t>
      </w:r>
    </w:p>
    <w:p>
      <w:pPr>
        <w:pStyle w:val="Compact"/>
        <w:numPr>
          <w:ilvl w:val="0"/>
          <w:numId w:val="1010"/>
        </w:numPr>
      </w:pPr>
      <w:r>
        <w:rPr>
          <w:b/>
          <w:bCs/>
        </w:rPr>
        <w:t xml:space="preserve">Complete Reference Details</w:t>
      </w:r>
      <w:r>
        <w:t xml:space="preserve"> </w:t>
      </w:r>
      <w:r>
        <w:t xml:space="preserve">(5 references need verification)</w:t>
      </w:r>
    </w:p>
    <w:p>
      <w:pPr>
        <w:pStyle w:val="Compact"/>
        <w:numPr>
          <w:ilvl w:val="1"/>
          <w:numId w:val="1011"/>
        </w:numPr>
      </w:pPr>
      <w:r>
        <w:t xml:space="preserve">Mandev et al. (2024) - Add journal name, volume, pages, DOI</w:t>
      </w:r>
    </w:p>
    <w:p>
      <w:pPr>
        <w:pStyle w:val="Compact"/>
        <w:numPr>
          <w:ilvl w:val="1"/>
          <w:numId w:val="1012"/>
        </w:numPr>
      </w:pPr>
      <w:r>
        <w:t xml:space="preserve">Plötz &amp; Gnann (2025) - Verify publication details (policy report/working paper/journal?)</w:t>
      </w:r>
    </w:p>
    <w:p>
      <w:pPr>
        <w:pStyle w:val="Compact"/>
        <w:numPr>
          <w:ilvl w:val="1"/>
          <w:numId w:val="1013"/>
        </w:numPr>
      </w:pPr>
      <w:r>
        <w:t xml:space="preserve">Tansini et al. (2022) - Add journal name, volume, pages, DOI</w:t>
      </w:r>
    </w:p>
    <w:p>
      <w:pPr>
        <w:pStyle w:val="Compact"/>
        <w:numPr>
          <w:ilvl w:val="1"/>
          <w:numId w:val="1014"/>
        </w:numPr>
      </w:pPr>
      <w:r>
        <w:t xml:space="preserve">Tansini et al. (2025) - Add journal name, volume, pages, DOI</w:t>
      </w:r>
    </w:p>
    <w:p>
      <w:pPr>
        <w:pStyle w:val="Compact"/>
        <w:numPr>
          <w:ilvl w:val="1"/>
          <w:numId w:val="1015"/>
        </w:numPr>
      </w:pPr>
      <w:r>
        <w:t xml:space="preserve">Suarez et al. (2025) - Add volume/pages (journal confirmed: Science of the Total Environment)</w:t>
      </w:r>
    </w:p>
    <w:p>
      <w:pPr>
        <w:pStyle w:val="Compact"/>
        <w:numPr>
          <w:ilvl w:val="0"/>
          <w:numId w:val="1010"/>
        </w:numPr>
      </w:pPr>
      <w:r>
        <w:rPr>
          <w:b/>
          <w:bCs/>
        </w:rPr>
        <w:t xml:space="preserve">Verify Author Information</w:t>
      </w:r>
    </w:p>
    <w:p>
      <w:pPr>
        <w:pStyle w:val="Compact"/>
        <w:numPr>
          <w:ilvl w:val="1"/>
          <w:numId w:val="1016"/>
        </w:numPr>
      </w:pPr>
      <w:r>
        <w:t xml:space="preserve">Review author affiliation in header</w:t>
      </w:r>
    </w:p>
    <w:p>
      <w:pPr>
        <w:pStyle w:val="Compact"/>
        <w:numPr>
          <w:ilvl w:val="1"/>
          <w:numId w:val="1017"/>
        </w:numPr>
      </w:pPr>
      <w:r>
        <w:t xml:space="preserve">Add ORCiD</w:t>
      </w:r>
    </w:p>
    <w:p>
      <w:pPr>
        <w:pStyle w:val="Compact"/>
        <w:numPr>
          <w:ilvl w:val="1"/>
          <w:numId w:val="1018"/>
        </w:numPr>
      </w:pPr>
      <w:r>
        <w:t xml:space="preserve">Verify all co-authors are included if applicable</w:t>
      </w:r>
    </w:p>
    <w:p>
      <w:pPr>
        <w:pStyle w:val="Compact"/>
        <w:numPr>
          <w:ilvl w:val="0"/>
          <w:numId w:val="1010"/>
        </w:numPr>
      </w:pPr>
      <w:r>
        <w:rPr>
          <w:b/>
          <w:bCs/>
        </w:rPr>
        <w:t xml:space="preserve">Review Acknowledgments Section</w:t>
      </w:r>
    </w:p>
    <w:p>
      <w:pPr>
        <w:pStyle w:val="Compact"/>
        <w:numPr>
          <w:ilvl w:val="1"/>
          <w:numId w:val="1019"/>
        </w:numPr>
      </w:pPr>
      <w:r>
        <w:t xml:space="preserve">Verify all co-authors and collaborators are listed correctly</w:t>
      </w:r>
    </w:p>
    <w:p>
      <w:pPr>
        <w:pStyle w:val="Compact"/>
        <w:numPr>
          <w:ilvl w:val="1"/>
          <w:numId w:val="1020"/>
        </w:numPr>
      </w:pPr>
      <w:r>
        <w:t xml:space="preserve">Verify all funding sources are listed correctly</w:t>
      </w:r>
    </w:p>
    <w:p>
      <w:pPr>
        <w:pStyle w:val="Compact"/>
        <w:numPr>
          <w:ilvl w:val="0"/>
          <w:numId w:val="1010"/>
        </w:numPr>
      </w:pPr>
      <w:r>
        <w:rPr>
          <w:b/>
          <w:bCs/>
        </w:rPr>
        <w:t xml:space="preserve">Word Count Review</w:t>
      </w:r>
    </w:p>
    <w:p>
      <w:pPr>
        <w:pStyle w:val="Compact"/>
        <w:numPr>
          <w:ilvl w:val="1"/>
          <w:numId w:val="1021"/>
        </w:numPr>
      </w:pPr>
      <w:r>
        <w:t xml:space="preserve">Current word count: [To be calculated]</w:t>
      </w:r>
    </w:p>
    <w:p>
      <w:pPr>
        <w:pStyle w:val="Compact"/>
        <w:numPr>
          <w:ilvl w:val="1"/>
          <w:numId w:val="1022"/>
        </w:numPr>
      </w:pPr>
      <w:r>
        <w:t xml:space="preserve">Consider condensing sections or moving detailed results to supplementary materials if journal requires</w:t>
      </w:r>
    </w:p>
    <w:p>
      <w:pPr>
        <w:pStyle w:val="Compact"/>
        <w:numPr>
          <w:ilvl w:val="1"/>
          <w:numId w:val="1023"/>
        </w:numPr>
      </w:pPr>
      <w:r>
        <w:t xml:space="preserve">Review journal-specific word limits and adjust accordingly</w:t>
      </w:r>
    </w:p>
    <w:bookmarkEnd w:id="132"/>
    <w:bookmarkStart w:id="133" w:name="medium-priority-recommended"/>
    <w:p>
      <w:pPr>
        <w:pStyle w:val="Heading3"/>
      </w:pPr>
      <w:r>
        <w:rPr>
          <w:rStyle w:val="SectionNumber"/>
        </w:rPr>
        <w:t xml:space="preserve">1.12.2</w:t>
      </w:r>
      <w:r>
        <w:tab/>
      </w:r>
      <w:r>
        <w:t xml:space="preserve">🟡 Medium Priority (Recommended)</w:t>
      </w:r>
    </w:p>
    <w:p>
      <w:pPr>
        <w:pStyle w:val="Compact"/>
        <w:numPr>
          <w:ilvl w:val="0"/>
          <w:numId w:val="1024"/>
        </w:numPr>
      </w:pPr>
      <w:r>
        <w:rPr>
          <w:b/>
          <w:bCs/>
        </w:rPr>
        <w:t xml:space="preserve">Review and Formatting</w:t>
      </w:r>
    </w:p>
    <w:p>
      <w:pPr>
        <w:pStyle w:val="Compact"/>
        <w:numPr>
          <w:ilvl w:val="1"/>
          <w:numId w:val="1025"/>
        </w:numPr>
      </w:pPr>
      <w:r>
        <w:t xml:space="preserve">Check all figures are properly sized and centered</w:t>
      </w:r>
    </w:p>
    <w:p>
      <w:pPr>
        <w:pStyle w:val="Compact"/>
        <w:numPr>
          <w:ilvl w:val="1"/>
          <w:numId w:val="1026"/>
        </w:numPr>
      </w:pPr>
      <w:r>
        <w:t xml:space="preserve">Verify all tables are properly formatted</w:t>
      </w:r>
    </w:p>
    <w:p>
      <w:pPr>
        <w:pStyle w:val="Compact"/>
        <w:numPr>
          <w:ilvl w:val="1"/>
          <w:numId w:val="1027"/>
        </w:numPr>
      </w:pPr>
      <w:r>
        <w:t xml:space="preserve">Review math equations display correctly</w:t>
      </w:r>
    </w:p>
    <w:p>
      <w:pPr>
        <w:pStyle w:val="Compact"/>
        <w:numPr>
          <w:ilvl w:val="1"/>
          <w:numId w:val="1028"/>
        </w:numPr>
      </w:pPr>
      <w:r>
        <w:t xml:space="preserve">Check page breaks are appropriate</w:t>
      </w:r>
    </w:p>
    <w:p>
      <w:pPr>
        <w:pStyle w:val="Compact"/>
        <w:numPr>
          <w:ilvl w:val="1"/>
          <w:numId w:val="1029"/>
        </w:numPr>
      </w:pPr>
      <w:r>
        <w:t xml:space="preserve">Ensure consistent formatting throughout</w:t>
      </w:r>
    </w:p>
    <w:p>
      <w:pPr>
        <w:pStyle w:val="Compact"/>
        <w:numPr>
          <w:ilvl w:val="0"/>
          <w:numId w:val="1024"/>
        </w:numPr>
      </w:pPr>
      <w:r>
        <w:rPr>
          <w:b/>
          <w:bCs/>
        </w:rPr>
        <w:t xml:space="preserve">Content Review</w:t>
      </w:r>
    </w:p>
    <w:p>
      <w:pPr>
        <w:pStyle w:val="Compact"/>
        <w:numPr>
          <w:ilvl w:val="1"/>
          <w:numId w:val="1030"/>
        </w:numPr>
      </w:pPr>
      <w:r>
        <w:t xml:space="preserve">Verify all statistics match between text and tables</w:t>
      </w:r>
    </w:p>
    <w:p>
      <w:pPr>
        <w:pStyle w:val="Compact"/>
        <w:numPr>
          <w:ilvl w:val="1"/>
          <w:numId w:val="1031"/>
        </w:numPr>
      </w:pPr>
      <w:r>
        <w:t xml:space="preserve">Check all citations are correct</w:t>
      </w:r>
    </w:p>
    <w:p>
      <w:pPr>
        <w:pStyle w:val="Compact"/>
        <w:numPr>
          <w:ilvl w:val="1"/>
          <w:numId w:val="1032"/>
        </w:numPr>
      </w:pPr>
      <w:r>
        <w:t xml:space="preserve">Review abstract for accuracy</w:t>
      </w:r>
    </w:p>
    <w:p>
      <w:pPr>
        <w:pStyle w:val="Compact"/>
        <w:numPr>
          <w:ilvl w:val="1"/>
          <w:numId w:val="1033"/>
        </w:numPr>
      </w:pPr>
      <w:r>
        <w:t xml:space="preserve">Ensure all section numbers are correct</w:t>
      </w:r>
    </w:p>
    <w:p>
      <w:pPr>
        <w:pStyle w:val="Compact"/>
        <w:numPr>
          <w:ilvl w:val="1"/>
          <w:numId w:val="1034"/>
        </w:numPr>
      </w:pPr>
      <w:r>
        <w:t xml:space="preserve">Verify figure/table numbering is sequential</w:t>
      </w:r>
    </w:p>
    <w:p>
      <w:pPr>
        <w:pStyle w:val="Compact"/>
        <w:numPr>
          <w:ilvl w:val="0"/>
          <w:numId w:val="1024"/>
        </w:numPr>
      </w:pPr>
      <w:r>
        <w:rPr>
          <w:b/>
          <w:bCs/>
        </w:rPr>
        <w:t xml:space="preserve">Journal-Specific Requirements</w:t>
      </w:r>
    </w:p>
    <w:p>
      <w:pPr>
        <w:pStyle w:val="Compact"/>
        <w:numPr>
          <w:ilvl w:val="1"/>
          <w:numId w:val="1035"/>
        </w:numPr>
      </w:pPr>
      <w:r>
        <w:t xml:space="preserve">Verify figure/table count meets journal limits</w:t>
      </w:r>
    </w:p>
    <w:p>
      <w:pPr>
        <w:pStyle w:val="Compact"/>
        <w:numPr>
          <w:ilvl w:val="1"/>
          <w:numId w:val="1036"/>
        </w:numPr>
      </w:pPr>
      <w:r>
        <w:t xml:space="preserve">Apply journal-specific formatting (if known)</w:t>
      </w:r>
    </w:p>
    <w:p>
      <w:pPr>
        <w:pStyle w:val="Compact"/>
        <w:numPr>
          <w:ilvl w:val="1"/>
          <w:numId w:val="1037"/>
        </w:numPr>
      </w:pPr>
      <w:r>
        <w:t xml:space="preserve">Check reference style matches journal requirements</w:t>
      </w:r>
    </w:p>
    <w:bookmarkEnd w:id="133"/>
    <w:bookmarkStart w:id="134" w:name="low-priority-optionalfuture"/>
    <w:p>
      <w:pPr>
        <w:pStyle w:val="Heading3"/>
      </w:pPr>
      <w:r>
        <w:rPr>
          <w:rStyle w:val="SectionNumber"/>
        </w:rPr>
        <w:t xml:space="preserve">1.12.3</w:t>
      </w:r>
      <w:r>
        <w:tab/>
      </w:r>
      <w:r>
        <w:t xml:space="preserve">🟢 Low Priority (Optional/Future)</w:t>
      </w:r>
    </w:p>
    <w:p>
      <w:pPr>
        <w:pStyle w:val="Compact"/>
        <w:numPr>
          <w:ilvl w:val="0"/>
          <w:numId w:val="1038"/>
        </w:numPr>
      </w:pPr>
      <w:r>
        <w:rPr>
          <w:b/>
          <w:bCs/>
        </w:rPr>
        <w:t xml:space="preserve">Optional Enhancements</w:t>
      </w:r>
    </w:p>
    <w:p>
      <w:pPr>
        <w:pStyle w:val="Compact"/>
        <w:numPr>
          <w:ilvl w:val="1"/>
          <w:numId w:val="1039"/>
        </w:numPr>
      </w:pPr>
      <w:r>
        <w:t xml:space="preserve">Add campaign data if available (for Figure 4 enhancement)</w:t>
      </w:r>
    </w:p>
    <w:p>
      <w:pPr>
        <w:pStyle w:val="Compact"/>
        <w:numPr>
          <w:ilvl w:val="1"/>
          <w:numId w:val="1040"/>
        </w:numPr>
      </w:pPr>
      <w:r>
        <w:t xml:space="preserve">Consider adding supplementary materials for detailed model results</w:t>
      </w:r>
    </w:p>
    <w:p>
      <w:pPr>
        <w:pStyle w:val="Compact"/>
        <w:numPr>
          <w:ilvl w:val="1"/>
          <w:numId w:val="1041"/>
        </w:numPr>
      </w:pPr>
      <w:r>
        <w:t xml:space="preserve">Prepare response to reviewers document template</w:t>
      </w:r>
    </w:p>
    <w:p>
      <w:pPr>
        <w:pStyle w:val="Compact"/>
        <w:numPr>
          <w:ilvl w:val="0"/>
          <w:numId w:val="1038"/>
        </w:numPr>
      </w:pPr>
      <w:r>
        <w:rPr>
          <w:b/>
          <w:bCs/>
        </w:rPr>
        <w:t xml:space="preserve">Final Checks Before Submission</w:t>
      </w:r>
    </w:p>
    <w:p>
      <w:pPr>
        <w:pStyle w:val="Compact"/>
        <w:numPr>
          <w:ilvl w:val="0"/>
          <w:numId w:val="1042"/>
        </w:numPr>
      </w:pPr>
      <w:r>
        <w:t xml:space="preserve">Spell check entire document</w:t>
      </w:r>
    </w:p>
    <w:p>
      <w:pPr>
        <w:pStyle w:val="Compact"/>
        <w:numPr>
          <w:ilvl w:val="0"/>
          <w:numId w:val="1043"/>
        </w:numPr>
      </w:pPr>
      <w:r>
        <w:t xml:space="preserve">Grammar check</w:t>
      </w:r>
    </w:p>
    <w:p>
      <w:pPr>
        <w:pStyle w:val="Compact"/>
        <w:numPr>
          <w:ilvl w:val="0"/>
          <w:numId w:val="1044"/>
        </w:numPr>
      </w:pPr>
      <w:r>
        <w:t xml:space="preserve">Verify all placeholders are filled</w:t>
      </w:r>
    </w:p>
    <w:p>
      <w:pPr>
        <w:pStyle w:val="Compact"/>
        <w:numPr>
          <w:ilvl w:val="0"/>
          <w:numId w:val="1045"/>
        </w:numPr>
      </w:pPr>
      <w:r>
        <w:t xml:space="preserve">Check all URLs/DOIs are working</w:t>
      </w:r>
    </w:p>
    <w:p>
      <w:pPr>
        <w:pStyle w:val="Compact"/>
        <w:numPr>
          <w:ilvl w:val="0"/>
          <w:numId w:val="1046"/>
        </w:numPr>
      </w:pPr>
      <w:r>
        <w:t xml:space="preserve">Ensure all figures are publication-quality (300 DPI)</w:t>
      </w:r>
    </w:p>
    <w:p>
      <w:pPr>
        <w:pStyle w:val="Compact"/>
        <w:numPr>
          <w:ilvl w:val="0"/>
          <w:numId w:val="1047"/>
        </w:numPr>
      </w:pPr>
      <w:r>
        <w:t xml:space="preserve">Create backup copies</w:t>
      </w:r>
    </w:p>
    <w:bookmarkEnd w:id="134"/>
    <w:bookmarkStart w:id="135" w:name="quick-reference"/>
    <w:p>
      <w:pPr>
        <w:pStyle w:val="Heading3"/>
      </w:pPr>
      <w:r>
        <w:rPr>
          <w:rStyle w:val="SectionNumber"/>
        </w:rPr>
        <w:t xml:space="preserve">1.12.4</w:t>
      </w:r>
      <w:r>
        <w:tab/>
      </w:r>
      <w:r>
        <w:t xml:space="preserve">📋 Quick Reference</w:t>
      </w:r>
    </w:p>
    <w:p>
      <w:pPr>
        <w:pStyle w:val="FirstParagraph"/>
      </w:pPr>
      <w:r>
        <w:rPr>
          <w:b/>
          <w:bCs/>
        </w:rPr>
        <w:t xml:space="preserve">Files to Work With:</w:t>
      </w:r>
      <w:r>
        <w:t xml:space="preserve"> </w:t>
      </w:r>
      <w:r>
        <w:t xml:space="preserve">- Main document:</w:t>
      </w:r>
      <w:r>
        <w:t xml:space="preserve"> </w:t>
      </w:r>
      <w:r>
        <w:rPr>
          <w:rStyle w:val="VerbatimChar"/>
        </w:rPr>
        <w:t xml:space="preserve">paper_a_analysis/PAPER_DRAFT.md</w:t>
      </w:r>
      <w:r>
        <w:t xml:space="preserve"> </w:t>
      </w:r>
      <w:r>
        <w:t xml:space="preserve">(source of truth - always regenerate DOCX from this)</w:t>
      </w:r>
      <w:r>
        <w:t xml:space="preserve"> </w:t>
      </w:r>
      <w:r>
        <w:t xml:space="preserve">- Figures:</w:t>
      </w:r>
      <w:r>
        <w:t xml:space="preserve"> </w:t>
      </w:r>
      <w:r>
        <w:rPr>
          <w:rStyle w:val="VerbatimChar"/>
        </w:rPr>
        <w:t xml:space="preserve">paper_a_analysis/figures/</w:t>
      </w:r>
      <w:r>
        <w:t xml:space="preserve"> </w:t>
      </w:r>
      <w:r>
        <w:t xml:space="preserve">(see Figure List section for complete list)</w:t>
      </w:r>
      <w:r>
        <w:t xml:space="preserve"> </w:t>
      </w:r>
      <w:r>
        <w:t xml:space="preserve">- Tables:</w:t>
      </w:r>
      <w:r>
        <w:t xml:space="preserve"> </w:t>
      </w:r>
      <w:r>
        <w:rPr>
          <w:rStyle w:val="VerbatimChar"/>
        </w:rPr>
        <w:t xml:space="preserve">paper_a_analysis/tables/</w:t>
      </w:r>
      <w:r>
        <w:t xml:space="preserve"> </w:t>
      </w:r>
      <w:r>
        <w:t xml:space="preserve">(see Table List section for complete list)</w:t>
      </w:r>
    </w:p>
    <w:p>
      <w:pPr>
        <w:pStyle w:val="BodyText"/>
      </w:pPr>
      <w:r>
        <w:rPr>
          <w:b/>
          <w:bCs/>
        </w:rPr>
        <w:t xml:space="preserve">Status:</w:t>
      </w:r>
      <w:r>
        <w:t xml:space="preserve"> </w:t>
      </w:r>
      <w:r>
        <w:t xml:space="preserve">Paper is complete. All analysis is complete and documented. Model results are presented in the main text (Section 4.2) and detailed comparisons are provided in Appendices B and C.</w:t>
      </w:r>
    </w:p>
    <w:p>
      <w:r>
        <w:pict>
          <v:rect style="width:0;height:1.5pt" o:hralign="center" o:hrstd="t" o:hr="t"/>
        </w:pict>
      </w:r>
    </w:p>
    <w:bookmarkEnd w:id="135"/>
    <w:bookmarkEnd w:id="136"/>
    <w:bookmarkStart w:id="141" w:name="improvements-completed"/>
    <w:p>
      <w:pPr>
        <w:pStyle w:val="Heading2"/>
      </w:pPr>
      <w:r>
        <w:rPr>
          <w:rStyle w:val="SectionNumber"/>
        </w:rPr>
        <w:t xml:space="preserve">1.13</w:t>
      </w:r>
      <w:r>
        <w:tab/>
      </w:r>
      <w:r>
        <w:t xml:space="preserve">✅ IMPROVEMENTS COMPLETED</w:t>
      </w:r>
    </w:p>
    <w:p>
      <w:pPr>
        <w:pStyle w:val="FirstParagraph"/>
      </w:pPr>
      <w:r>
        <w:rPr>
          <w:b/>
          <w:bCs/>
        </w:rPr>
        <w:t xml:space="preserve">Date:</w:t>
      </w:r>
      <w:r>
        <w:t xml:space="preserve"> </w:t>
      </w:r>
      <w:r>
        <w:t xml:space="preserve">January 14, 2025</w:t>
      </w:r>
      <w:r>
        <w:br/>
      </w:r>
      <w:r>
        <w:rPr>
          <w:b/>
          <w:bCs/>
        </w:rPr>
        <w:t xml:space="preserve">Status:</w:t>
      </w:r>
      <w:r>
        <w:t xml:space="preserve"> </w:t>
      </w:r>
      <w:r>
        <w:t xml:space="preserve">✅</w:t>
      </w:r>
      <w:r>
        <w:t xml:space="preserve"> </w:t>
      </w:r>
      <w:r>
        <w:rPr>
          <w:b/>
          <w:bCs/>
        </w:rPr>
        <w:t xml:space="preserve">Paper complete - All analysis, figures, and tables finalized</w:t>
      </w:r>
    </w:p>
    <w:bookmarkStart w:id="137" w:name="recent-improvements-january-2025"/>
    <w:p>
      <w:pPr>
        <w:pStyle w:val="Heading3"/>
      </w:pPr>
      <w:r>
        <w:rPr>
          <w:rStyle w:val="SectionNumber"/>
        </w:rPr>
        <w:t xml:space="preserve">1.13.1</w:t>
      </w:r>
      <w:r>
        <w:tab/>
      </w:r>
      <w:r>
        <w:t xml:space="preserve">Recent Improvements (January 2025):</w:t>
      </w:r>
    </w:p>
    <w:p>
      <w:pPr>
        <w:pStyle w:val="Compact"/>
        <w:numPr>
          <w:ilvl w:val="0"/>
          <w:numId w:val="1048"/>
        </w:numPr>
      </w:pPr>
      <w:r>
        <w:t xml:space="preserve">✅ Added explicit justification for EDSen_mech and final energy metric choices</w:t>
      </w:r>
    </w:p>
    <w:p>
      <w:pPr>
        <w:pStyle w:val="Compact"/>
        <w:numPr>
          <w:ilvl w:val="0"/>
          <w:numId w:val="1048"/>
        </w:numPr>
      </w:pPr>
      <w:r>
        <w:t xml:space="preserve">✅ Added correlation matrix analysis (Appendix A) demonstrating low multicollinearity</w:t>
      </w:r>
    </w:p>
    <w:p>
      <w:pPr>
        <w:pStyle w:val="Compact"/>
        <w:numPr>
          <w:ilvl w:val="0"/>
          <w:numId w:val="1048"/>
        </w:numPr>
      </w:pPr>
      <w:r>
        <w:t xml:space="preserve">✅ Tested alternative models (Random Forest, GAM, different XGBoost settings) - documented in Appendix B</w:t>
      </w:r>
    </w:p>
    <w:p>
      <w:pPr>
        <w:pStyle w:val="Compact"/>
        <w:numPr>
          <w:ilvl w:val="0"/>
          <w:numId w:val="1048"/>
        </w:numPr>
      </w:pPr>
      <w:r>
        <w:t xml:space="preserve">✅ Implemented segmented model analysis by mass categories, segments, and combinations - documented in Appendix C</w:t>
      </w:r>
    </w:p>
    <w:p>
      <w:pPr>
        <w:pStyle w:val="Compact"/>
        <w:numPr>
          <w:ilvl w:val="0"/>
          <w:numId w:val="1048"/>
        </w:numPr>
      </w:pPr>
      <w:r>
        <w:t xml:space="preserve">✅ Added conditional energies analysis (Section 4.1.F) with Figure 7</w:t>
      </w:r>
    </w:p>
    <w:p>
      <w:pPr>
        <w:pStyle w:val="Compact"/>
        <w:numPr>
          <w:ilvl w:val="0"/>
          <w:numId w:val="1048"/>
        </w:numPr>
      </w:pPr>
      <w:r>
        <w:t xml:space="preserve">✅ Added energy-mass relationship analysis (Section 4.1.G) with Figures 8, 9, 10</w:t>
      </w:r>
    </w:p>
    <w:p>
      <w:pPr>
        <w:pStyle w:val="Compact"/>
        <w:numPr>
          <w:ilvl w:val="0"/>
          <w:numId w:val="1048"/>
        </w:numPr>
      </w:pPr>
      <w:r>
        <w:t xml:space="preserve">✅ Updated EDS model R² from 14.6% to 21.1% (corrected cross-validation results)</w:t>
      </w:r>
    </w:p>
    <w:p>
      <w:pPr>
        <w:pStyle w:val="Compact"/>
        <w:numPr>
          <w:ilvl w:val="0"/>
          <w:numId w:val="1048"/>
        </w:numPr>
      </w:pPr>
      <w:r>
        <w:t xml:space="preserve">✅ Segmented models achieve 23.1-23.6% R² for homogeneous groups (9.5-11.8% relative improvement)</w:t>
      </w:r>
    </w:p>
    <w:p>
      <w:pPr>
        <w:pStyle w:val="Compact"/>
        <w:numPr>
          <w:ilvl w:val="0"/>
          <w:numId w:val="1048"/>
        </w:numPr>
      </w:pPr>
      <w:r>
        <w:t xml:space="preserve">✅ Removed redundancies in introduction and background sections</w:t>
      </w:r>
    </w:p>
    <w:p>
      <w:pPr>
        <w:pStyle w:val="Compact"/>
        <w:numPr>
          <w:ilvl w:val="0"/>
          <w:numId w:val="1048"/>
        </w:numPr>
      </w:pPr>
      <w:r>
        <w:t xml:space="preserve">✅ Updated segmentation findings throughout paper (abstract, discussion, conclusions)</w:t>
      </w:r>
    </w:p>
    <w:p>
      <w:pPr>
        <w:pStyle w:val="Compact"/>
        <w:numPr>
          <w:ilvl w:val="0"/>
          <w:numId w:val="1048"/>
        </w:numPr>
      </w:pPr>
      <w:r>
        <w:t xml:space="preserve">✅ All methods explained with rationale and references</w:t>
      </w:r>
    </w:p>
    <w:p>
      <w:pPr>
        <w:pStyle w:val="Compact"/>
        <w:numPr>
          <w:ilvl w:val="0"/>
          <w:numId w:val="1048"/>
        </w:numPr>
      </w:pPr>
      <w:r>
        <w:t xml:space="preserve">✅ All intro claims properly referenced</w:t>
      </w:r>
    </w:p>
    <w:p>
      <w:pPr>
        <w:pStyle w:val="Compact"/>
        <w:numPr>
          <w:ilvl w:val="0"/>
          <w:numId w:val="1048"/>
        </w:numPr>
      </w:pPr>
      <w:r>
        <w:t xml:space="preserve">✅ New figures integrated in Discussion and Conclusions</w:t>
      </w:r>
    </w:p>
    <w:bookmarkEnd w:id="137"/>
    <w:bookmarkStart w:id="138" w:name="key-scientific-findings"/>
    <w:p>
      <w:pPr>
        <w:pStyle w:val="Heading3"/>
      </w:pPr>
      <w:r>
        <w:rPr>
          <w:rStyle w:val="SectionNumber"/>
        </w:rPr>
        <w:t xml:space="preserve">1.13.2</w:t>
      </w:r>
      <w:r>
        <w:tab/>
      </w:r>
      <w:r>
        <w:t xml:space="preserve">Key Scientific Findings:</w:t>
      </w:r>
    </w:p>
    <w:p>
      <w:pPr>
        <w:pStyle w:val="Compact"/>
        <w:numPr>
          <w:ilvl w:val="0"/>
          <w:numId w:val="1049"/>
        </w:numPr>
      </w:pPr>
      <w:r>
        <w:rPr>
          <w:b/>
          <w:bCs/>
        </w:rPr>
        <w:t xml:space="preserve">EDS models show realistic performance</w:t>
      </w:r>
      <w:r>
        <w:t xml:space="preserve"> </w:t>
      </w:r>
      <w:r>
        <w:t xml:space="preserve">- 21.1% R² reflects the fundamental challenge of predicting driver behavior from vehicle characteristics</w:t>
      </w:r>
    </w:p>
    <w:p>
      <w:pPr>
        <w:pStyle w:val="Compact"/>
        <w:numPr>
          <w:ilvl w:val="0"/>
          <w:numId w:val="1049"/>
        </w:numPr>
      </w:pPr>
      <w:r>
        <w:rPr>
          <w:b/>
          <w:bCs/>
        </w:rPr>
        <w:t xml:space="preserve">Segmented models achieve modest improvements</w:t>
      </w:r>
      <w:r>
        <w:t xml:space="preserve"> </w:t>
      </w:r>
      <w:r>
        <w:t xml:space="preserve">- 23.1-23.6% R² for homogeneous groups (9.5-11.8% relative improvement)</w:t>
      </w:r>
    </w:p>
    <w:p>
      <w:pPr>
        <w:pStyle w:val="Compact"/>
        <w:numPr>
          <w:ilvl w:val="0"/>
          <w:numId w:val="1049"/>
        </w:numPr>
      </w:pPr>
      <w:r>
        <w:rPr>
          <w:b/>
          <w:bCs/>
        </w:rPr>
        <w:t xml:space="preserve">Energy models show strong performance</w:t>
      </w:r>
      <w:r>
        <w:t xml:space="preserve"> </w:t>
      </w:r>
      <w:r>
        <w:t xml:space="preserve">- 82.3% R² when EDS is included, demonstrating EDS as dominant driver</w:t>
      </w:r>
    </w:p>
    <w:p>
      <w:pPr>
        <w:pStyle w:val="Compact"/>
        <w:numPr>
          <w:ilvl w:val="0"/>
          <w:numId w:val="1049"/>
        </w:numPr>
      </w:pPr>
      <w:r>
        <w:rPr>
          <w:b/>
          <w:bCs/>
        </w:rPr>
        <w:t xml:space="preserve">Models use all available data</w:t>
      </w:r>
      <w:r>
        <w:t xml:space="preserve"> </w:t>
      </w:r>
      <w:r>
        <w:t xml:space="preserve">- 5-fold cross-validation on 891,693 clean records (from 900,525 total)</w:t>
      </w:r>
    </w:p>
    <w:p>
      <w:pPr>
        <w:pStyle w:val="Compact"/>
        <w:numPr>
          <w:ilvl w:val="0"/>
          <w:numId w:val="1049"/>
        </w:numPr>
      </w:pPr>
      <w:r>
        <w:rPr>
          <w:b/>
          <w:bCs/>
        </w:rPr>
        <w:t xml:space="preserve">Feature selection is transparent</w:t>
      </w:r>
      <w:r>
        <w:t xml:space="preserve"> </w:t>
      </w:r>
      <w:r>
        <w:t xml:space="preserve">- 13 variables for EDS, 14 for energy (13 + EDS), with clear rationale</w:t>
      </w:r>
    </w:p>
    <w:bookmarkEnd w:id="138"/>
    <w:bookmarkStart w:id="139" w:name="notes"/>
    <w:p>
      <w:pPr>
        <w:pStyle w:val="Heading3"/>
      </w:pPr>
      <w:r>
        <w:rPr>
          <w:rStyle w:val="SectionNumber"/>
        </w:rPr>
        <w:t xml:space="preserve">1.13.3</w:t>
      </w:r>
      <w:r>
        <w:tab/>
      </w:r>
      <w:r>
        <w:t xml:space="preserve">Notes</w:t>
      </w:r>
    </w:p>
    <w:p>
      <w:pPr>
        <w:pStyle w:val="Compact"/>
        <w:numPr>
          <w:ilvl w:val="0"/>
          <w:numId w:val="1050"/>
        </w:numPr>
      </w:pPr>
      <w:r>
        <w:t xml:space="preserve">All models use 5-fold cross-validation on all 891,693 clean records for robust performance estimates</w:t>
      </w:r>
    </w:p>
    <w:p>
      <w:pPr>
        <w:pStyle w:val="Compact"/>
        <w:numPr>
          <w:ilvl w:val="0"/>
          <w:numId w:val="1050"/>
        </w:numPr>
      </w:pPr>
      <w:r>
        <w:rPr>
          <w:b/>
          <w:bCs/>
        </w:rPr>
        <w:t xml:space="preserve">EDS models use 13 variables</w:t>
      </w:r>
      <w:r>
        <w:t xml:space="preserve"> </w:t>
      </w:r>
      <w:r>
        <w:t xml:space="preserve">(core specs, efficiency ratios, usage, contextual factors)</w:t>
      </w:r>
    </w:p>
    <w:p>
      <w:pPr>
        <w:pStyle w:val="Compact"/>
        <w:numPr>
          <w:ilvl w:val="0"/>
          <w:numId w:val="1050"/>
        </w:numPr>
      </w:pPr>
      <w:r>
        <w:rPr>
          <w:b/>
          <w:bCs/>
        </w:rPr>
        <w:t xml:space="preserve">Energy models use 14 variables</w:t>
      </w:r>
      <w:r>
        <w:t xml:space="preserve"> </w:t>
      </w:r>
      <w:r>
        <w:t xml:space="preserve">(13 + EDS as predictor)</w:t>
      </w:r>
    </w:p>
    <w:p>
      <w:pPr>
        <w:pStyle w:val="Compact"/>
        <w:numPr>
          <w:ilvl w:val="0"/>
          <w:numId w:val="1050"/>
        </w:numPr>
      </w:pPr>
      <w:r>
        <w:t xml:space="preserve">Variable selection rationale documented in Section 4.2.A</w:t>
      </w:r>
    </w:p>
    <w:p>
      <w:pPr>
        <w:pStyle w:val="Compact"/>
        <w:numPr>
          <w:ilvl w:val="0"/>
          <w:numId w:val="1050"/>
        </w:numPr>
      </w:pPr>
      <w:r>
        <w:t xml:space="preserve">Correlation matrix demonstrates low multicollinearity (Appendix A)</w:t>
      </w:r>
    </w:p>
    <w:p>
      <w:pPr>
        <w:pStyle w:val="Compact"/>
        <w:numPr>
          <w:ilvl w:val="0"/>
          <w:numId w:val="1050"/>
        </w:numPr>
      </w:pPr>
      <w:r>
        <w:t xml:space="preserve">Segmented models tested for homogeneous groups (Appendix C)</w:t>
      </w:r>
    </w:p>
    <w:bookmarkEnd w:id="139"/>
    <w:bookmarkStart w:id="140" w:name="documentation-notes"/>
    <w:p>
      <w:pPr>
        <w:pStyle w:val="Heading3"/>
      </w:pPr>
      <w:r>
        <w:rPr>
          <w:rStyle w:val="SectionNumber"/>
        </w:rPr>
        <w:t xml:space="preserve">1.13.4</w:t>
      </w:r>
      <w:r>
        <w:tab/>
      </w:r>
      <w:r>
        <w:t xml:space="preserve">Documentation Notes</w:t>
      </w:r>
    </w:p>
    <w:p>
      <w:pPr>
        <w:pStyle w:val="FirstParagraph"/>
      </w:pPr>
      <w:r>
        <w:rPr>
          <w:b/>
          <w:bCs/>
        </w:rPr>
        <w:t xml:space="preserve">Variable sets:</w:t>
      </w:r>
      <w:r>
        <w:t xml:space="preserve"> </w:t>
      </w:r>
      <w:r>
        <w:t xml:space="preserve">-</w:t>
      </w:r>
      <w:r>
        <w:t xml:space="preserve"> </w:t>
      </w:r>
      <w:r>
        <w:rPr>
          <w:b/>
          <w:bCs/>
        </w:rPr>
        <w:t xml:space="preserve">Main paper:</w:t>
      </w:r>
      <w:r>
        <w:t xml:space="preserve"> </w:t>
      </w:r>
      <w:r>
        <w:t xml:space="preserve">Uses 13 variables for EDS, 14 variables for energy (13 + EDS)</w:t>
      </w:r>
      <w:r>
        <w:t xml:space="preserve"> </w:t>
      </w:r>
      <w:r>
        <w:t xml:space="preserve">-</w:t>
      </w:r>
      <w:r>
        <w:t xml:space="preserve"> </w:t>
      </w:r>
      <w:r>
        <w:rPr>
          <w:b/>
          <w:bCs/>
        </w:rPr>
        <w:t xml:space="preserve">Appendix A:</w:t>
      </w:r>
      <w:r>
        <w:t xml:space="preserve"> </w:t>
      </w:r>
      <w:r>
        <w:t xml:space="preserve">Correlation matrix of predictor variables</w:t>
      </w:r>
      <w:r>
        <w:t xml:space="preserve"> </w:t>
      </w:r>
      <w:r>
        <w:t xml:space="preserve">-</w:t>
      </w:r>
      <w:r>
        <w:t xml:space="preserve"> </w:t>
      </w:r>
      <w:r>
        <w:rPr>
          <w:b/>
          <w:bCs/>
        </w:rPr>
        <w:t xml:space="preserve">Appendix B:</w:t>
      </w:r>
      <w:r>
        <w:t xml:space="preserve"> </w:t>
      </w:r>
      <w:r>
        <w:t xml:space="preserve">Alternative model comparison</w:t>
      </w:r>
      <w:r>
        <w:t xml:space="preserve"> </w:t>
      </w:r>
      <w:r>
        <w:t xml:space="preserve">-</w:t>
      </w:r>
      <w:r>
        <w:t xml:space="preserve"> </w:t>
      </w:r>
      <w:r>
        <w:rPr>
          <w:b/>
          <w:bCs/>
        </w:rPr>
        <w:t xml:space="preserve">Appendix C:</w:t>
      </w:r>
      <w:r>
        <w:t xml:space="preserve"> </w:t>
      </w:r>
      <w:r>
        <w:t xml:space="preserve">Segmented model analysis</w:t>
      </w:r>
    </w:p>
    <w:p>
      <w:r>
        <w:pict>
          <v:rect style="width:0;height:1.5pt" o:hralign="center" o:hrstd="t" o:hr="t"/>
        </w:pict>
      </w:r>
    </w:p>
    <w:bookmarkEnd w:id="140"/>
    <w:bookmarkEnd w:id="141"/>
    <w:bookmarkStart w:id="151" w:name="appendix"/>
    <w:p>
      <w:pPr>
        <w:pStyle w:val="Heading2"/>
      </w:pPr>
      <w:r>
        <w:rPr>
          <w:rStyle w:val="SectionNumber"/>
        </w:rPr>
        <w:t xml:space="preserve">1.14</w:t>
      </w:r>
      <w:r>
        <w:tab/>
      </w:r>
      <w:r>
        <w:t xml:space="preserve">Appendix</w:t>
      </w:r>
    </w:p>
    <w:bookmarkStart w:id="145" w:name="X0600fae944cbaf6e47c1d32bd3aedc8db8f3e52"/>
    <w:p>
      <w:pPr>
        <w:pStyle w:val="Heading3"/>
      </w:pPr>
      <w:r>
        <w:rPr>
          <w:rStyle w:val="SectionNumber"/>
        </w:rPr>
        <w:t xml:space="preserve">1.14.1</w:t>
      </w:r>
      <w:r>
        <w:tab/>
      </w:r>
      <w:r>
        <w:t xml:space="preserve">Appendix A: Correlation Matrix of Predictor Variables</w:t>
      </w:r>
    </w:p>
    <w:p>
      <w:pPr>
        <w:pStyle w:val="FirstParagraph"/>
      </w:pPr>
      <w:r>
        <w:t xml:space="preserve">To demonstrate that the selected predictor variables are not highly intercorrelated (which would indicate multicollinearity), we present a correlation matrix of all 13 predictor variables used in the EDS and energy models (Table A1, Figure A1). The correlation matrix shows that most pairwise correlations are moderate (|r| &lt; 0.7), with only three pairs exceeding this threshold:</w:t>
      </w:r>
    </w:p>
    <w:p>
      <w:pPr>
        <w:numPr>
          <w:ilvl w:val="0"/>
          <w:numId w:val="1051"/>
        </w:numPr>
      </w:pPr>
      <w:r>
        <w:rPr>
          <w:b/>
          <w:bCs/>
        </w:rPr>
        <w:t xml:space="preserve">AER_to_Mass vs Electric_range</w:t>
      </w:r>
      <w:r>
        <w:t xml:space="preserve"> </w:t>
      </w:r>
      <w:r>
        <w:t xml:space="preserve">(r = 0.81): This is expected, as AER_to_Mass is calculated as Electric_range / Mass, creating a mathematical relationship. However, AER_to_Mass captures efficiency (range per unit mass) rather than absolute range, providing additional information about design efficiency.</w:t>
      </w:r>
    </w:p>
    <w:p>
      <w:pPr>
        <w:numPr>
          <w:ilvl w:val="0"/>
          <w:numId w:val="1051"/>
        </w:numPr>
      </w:pPr>
      <w:r>
        <w:rPr>
          <w:b/>
          <w:bCs/>
        </w:rPr>
        <w:t xml:space="preserve">Power_to_Mass vs Engine_power</w:t>
      </w:r>
      <w:r>
        <w:t xml:space="preserve"> </w:t>
      </w:r>
      <w:r>
        <w:t xml:space="preserve">(r = 0.90): This is expected, as Power_to_Mass is calculated as Engine_power / Mass. The ratio captures power density (power per unit mass) rather than absolute power, providing information about design efficiency.</w:t>
      </w:r>
    </w:p>
    <w:p>
      <w:pPr>
        <w:numPr>
          <w:ilvl w:val="0"/>
          <w:numId w:val="1051"/>
        </w:numPr>
      </w:pPr>
      <w:r>
        <w:rPr>
          <w:b/>
          <w:bCs/>
        </w:rPr>
        <w:t xml:space="preserve">Battery_to_Mass vs drive_battery_capacity_kwh</w:t>
      </w:r>
      <w:r>
        <w:t xml:space="preserve"> </w:t>
      </w:r>
      <w:r>
        <w:t xml:space="preserve">(r = 0.87): This is expected, as Battery_to_Mass is calculated as drive_battery_capacity_kwh / Mass. The ratio captures battery density (capacity per unit mass) rather than absolute capacity, providing information about design efficiency.</w:t>
      </w:r>
    </w:p>
    <w:p>
      <w:pPr>
        <w:pStyle w:val="FirstParagraph"/>
      </w:pPr>
      <w:r>
        <w:t xml:space="preserve">These three high correlations are intentional design choices: we use efficiency ratios (AER_to_Mass, Power_to_Mass, Battery_to_Mass) rather than absolute values to reduce multicollinearity with mass while maintaining physical interpretability. The ratios capture design efficiency (how efficiently a vehicle achieves range/power/battery capacity relative to its weight), which is more informative than absolute values when comparing vehicles of different sizes.</w:t>
      </w:r>
    </w:p>
    <w:p>
      <w:pPr>
        <w:pStyle w:val="BodyText"/>
      </w:pPr>
      <w:r>
        <w:t xml:space="preserve">All other pairwise correlations are below 0.7, indicating that the predictor set does not suffer from severe multicollinearity. The highest correlation among non-ratio variables is between Mass and Engine_power (r = 0.69), which is moderate and expected, as larger vehicles typically have more powerful engines.</w:t>
      </w:r>
    </w:p>
    <w:p>
      <w:pPr>
        <w:pStyle w:val="BodyText"/>
      </w:pPr>
      <w:r>
        <w:rPr>
          <w:b/>
          <w:bCs/>
        </w:rPr>
        <w:t xml:space="preserve">Table A1: Correlation Matrix of Predictor Variables</w:t>
      </w:r>
    </w:p>
    <w:p>
      <w:pPr>
        <w:pStyle w:val="BodyText"/>
      </w:pPr>
      <w:r>
        <w:rPr>
          <w:i/>
          <w:iCs/>
        </w:rPr>
        <w:t xml:space="preserve">Note: See</w:t>
      </w:r>
      <w:r>
        <w:rPr>
          <w:i/>
          <w:iCs/>
        </w:rPr>
        <w:t xml:space="preserve"> </w:t>
      </w:r>
      <w:r>
        <w:rPr>
          <w:rStyle w:val="VerbatimChar"/>
          <w:i/>
          <w:iCs/>
        </w:rPr>
        <w:t xml:space="preserve">tables/correlation_matrix.csv</w:t>
      </w:r>
      <w:r>
        <w:rPr>
          <w:i/>
          <w:iCs/>
        </w:rPr>
        <w:t xml:space="preserve"> </w:t>
      </w:r>
      <w:r>
        <w:rPr>
          <w:i/>
          <w:iCs/>
        </w:rPr>
        <w:t xml:space="preserve">for the full numerical correlation matrix.</w:t>
      </w:r>
    </w:p>
    <w:p>
      <w:pPr>
        <w:pStyle w:val="BodyText"/>
      </w:pPr>
      <w:r>
        <w:rPr>
          <w:b/>
          <w:bCs/>
        </w:rPr>
        <w:t xml:space="preserve">Figure A1: Visual Correlation Matrix of Predictor Variables</w:t>
      </w:r>
    </w:p>
    <w:p>
      <w:pPr>
        <w:pStyle w:val="CaptionedFigure"/>
      </w:pPr>
      <w:r>
        <w:drawing>
          <wp:inline>
            <wp:extent cx="5334000" cy="5334000"/>
            <wp:effectExtent b="0" l="0" r="0" t="0"/>
            <wp:docPr descr="Figure A1" title="" id="143" name="Picture"/>
            <a:graphic>
              <a:graphicData uri="http://schemas.openxmlformats.org/drawingml/2006/picture">
                <pic:pic>
                  <pic:nvPicPr>
                    <pic:cNvPr descr="figures/correlation_matrix.png" id="144" name="Picture"/>
                    <pic:cNvPicPr>
                      <a:picLocks noChangeArrowheads="1" noChangeAspect="1"/>
                    </pic:cNvPicPr>
                  </pic:nvPicPr>
                  <pic:blipFill>
                    <a:blip r:embed="rId14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A1</w:t>
      </w:r>
    </w:p>
    <w:p>
      <w:pPr>
        <w:pStyle w:val="BodyText"/>
      </w:pPr>
      <w:r>
        <w:rPr>
          <w:i/>
          <w:iCs/>
        </w:rPr>
        <w:t xml:space="preserve">Figure A1: Correlation matrix of the 13 predictor variables used in the EDS and energy models. Colors indicate correlation strength (blue = negative, red = positive), with darker colors indicating stronger correlations. The three high correlations (&gt;0.7) are between efficiency ratios and their component variables (AER_to_Mass vs Electric_range, Power_to_Mass vs Engine_power, Battery_to_Mass vs drive_battery_capacity_kwh), which are expected and intentional design choices to capture efficiency rather than absolute values.</w:t>
      </w:r>
    </w:p>
    <w:bookmarkEnd w:id="145"/>
    <w:bookmarkStart w:id="146" w:name="Xf17e4dff5e2a3e12ff1692aebc1ef165aca290a"/>
    <w:p>
      <w:pPr>
        <w:pStyle w:val="Heading3"/>
      </w:pPr>
      <w:r>
        <w:rPr>
          <w:rStyle w:val="SectionNumber"/>
        </w:rPr>
        <w:t xml:space="preserve">1.14.2</w:t>
      </w:r>
      <w:r>
        <w:tab/>
      </w:r>
      <w:r>
        <w:t xml:space="preserve">Appendix B: Alternative Model Comparison for EDS Prediction</w:t>
      </w:r>
    </w:p>
    <w:p>
      <w:pPr>
        <w:pStyle w:val="FirstParagraph"/>
      </w:pPr>
      <w:r>
        <w:t xml:space="preserve">We tested several alternative machine learning models for EDS prediction to ensure we selected the best-performing approach. Models were evaluated using 5-fold cross-validation on a sample of 30,000 records (to enable rapid comparison). Results are summarized in Table A2.</w:t>
      </w:r>
    </w:p>
    <w:p>
      <w:pPr>
        <w:pStyle w:val="BodyText"/>
      </w:pPr>
      <w:r>
        <w:rPr>
          <w:b/>
          <w:bCs/>
        </w:rPr>
        <w:t xml:space="preserve">Table A2: Alternative Model Performance for EDS Prediction</w:t>
      </w:r>
    </w:p>
    <w:tbl>
      <w:tblPr>
        <w:tblStyle w:val="Table"/>
        <w:tblW w:type="pct" w:w="5000"/>
        <w:tblLayout w:type="fixed"/>
        <w:tblLook w:firstRow="1" w:lastRow="0" w:firstColumn="0" w:lastColumn="0" w:noHBand="0" w:noVBand="0" w:val="0020"/>
      </w:tblPr>
      <w:tblGrid>
        <w:gridCol w:w="2410"/>
        <w:gridCol w:w="3099"/>
        <w:gridCol w:w="2410"/>
      </w:tblGrid>
      <w:tr>
        <w:trPr>
          <w:tblHeader w:val="on"/>
        </w:trPr>
        <w:tc>
          <w:tcPr/>
          <w:p>
            <w:pPr>
              <w:pStyle w:val="Compact"/>
            </w:pPr>
            <w:r>
              <w:t xml:space="preserve">Model</w:t>
            </w:r>
          </w:p>
        </w:tc>
        <w:tc>
          <w:tcPr/>
          <w:p>
            <w:pPr>
              <w:pStyle w:val="Compact"/>
            </w:pPr>
            <w:r>
              <w:t xml:space="preserve">Test R²</w:t>
            </w:r>
          </w:p>
        </w:tc>
        <w:tc>
          <w:tcPr/>
          <w:p>
            <w:pPr>
              <w:pStyle w:val="Compact"/>
            </w:pPr>
            <w:r>
              <w:t xml:space="preserve">Notes</w:t>
            </w:r>
          </w:p>
        </w:tc>
      </w:tr>
      <w:tr>
        <w:tc>
          <w:tcPr/>
          <w:p>
            <w:pPr>
              <w:pStyle w:val="Compact"/>
            </w:pPr>
            <w:r>
              <w:t xml:space="preserve">XGBoost (current)</w:t>
            </w:r>
          </w:p>
        </w:tc>
        <w:tc>
          <w:tcPr/>
          <w:p>
            <w:pPr>
              <w:pStyle w:val="Compact"/>
            </w:pPr>
            <w:r>
              <w:t xml:space="preserve">9.05%</w:t>
            </w:r>
          </w:p>
        </w:tc>
        <w:tc>
          <w:tcPr/>
          <w:p>
            <w:pPr>
              <w:pStyle w:val="Compact"/>
            </w:pPr>
            <w:r>
              <w:t xml:space="preserve">Depth=8, learning_rate=0.15, nrounds=200</w:t>
            </w:r>
          </w:p>
        </w:tc>
      </w:tr>
      <w:tr>
        <w:tc>
          <w:tcPr/>
          <w:p>
            <w:pPr>
              <w:pStyle w:val="Compact"/>
            </w:pPr>
            <w:r>
              <w:t xml:space="preserve">Random Forest</w:t>
            </w:r>
          </w:p>
        </w:tc>
        <w:tc>
          <w:tcPr/>
          <w:p>
            <w:pPr>
              <w:pStyle w:val="Compact"/>
            </w:pPr>
            <w:r>
              <w:t xml:space="preserve">11.09%</w:t>
            </w:r>
          </w:p>
        </w:tc>
        <w:tc>
          <w:tcPr/>
          <w:p>
            <w:pPr>
              <w:pStyle w:val="Compact"/>
            </w:pPr>
            <w:r>
              <w:t xml:space="preserve">ntree=1000, mtry=5</w:t>
            </w:r>
          </w:p>
        </w:tc>
      </w:tr>
      <w:tr>
        <w:tc>
          <w:tcPr/>
          <w:p>
            <w:pPr>
              <w:pStyle w:val="Compact"/>
            </w:pPr>
            <w:r>
              <w:t xml:space="preserve">XGBoost (regularized)</w:t>
            </w:r>
          </w:p>
        </w:tc>
        <w:tc>
          <w:tcPr/>
          <w:p>
            <w:pPr>
              <w:pStyle w:val="Compact"/>
            </w:pPr>
            <w:r>
              <w:t xml:space="preserve">10.96%</w:t>
            </w:r>
          </w:p>
        </w:tc>
        <w:tc>
          <w:tcPr/>
          <w:p>
            <w:pPr>
              <w:pStyle w:val="Compact"/>
            </w:pPr>
            <w:r>
              <w:t xml:space="preserve">With L1/L2 regularization</w:t>
            </w:r>
          </w:p>
        </w:tc>
      </w:tr>
      <w:tr>
        <w:tc>
          <w:tcPr/>
          <w:p>
            <w:pPr>
              <w:pStyle w:val="Compact"/>
            </w:pPr>
            <w:r>
              <w:t xml:space="preserve">Ensemble (XGBoost + RF)</w:t>
            </w:r>
          </w:p>
        </w:tc>
        <w:tc>
          <w:tcPr/>
          <w:p>
            <w:pPr>
              <w:pStyle w:val="Compact"/>
            </w:pPr>
            <w:r>
              <w:t xml:space="preserve">8.18%</w:t>
            </w:r>
          </w:p>
        </w:tc>
        <w:tc>
          <w:tcPr/>
          <w:p>
            <w:pPr>
              <w:pStyle w:val="Compact"/>
            </w:pPr>
            <w:r>
              <w:t xml:space="preserve">Weighted average</w:t>
            </w:r>
          </w:p>
        </w:tc>
      </w:tr>
      <w:tr>
        <w:tc>
          <w:tcPr/>
          <w:p>
            <w:pPr>
              <w:pStyle w:val="Compact"/>
            </w:pPr>
            <w:r>
              <w:t xml:space="preserve">XGBoost (deeper)</w:t>
            </w:r>
          </w:p>
        </w:tc>
        <w:tc>
          <w:tcPr/>
          <w:p>
            <w:pPr>
              <w:pStyle w:val="Compact"/>
            </w:pPr>
            <w:r>
              <w:t xml:space="preserve">1.53%</w:t>
            </w:r>
          </w:p>
        </w:tc>
        <w:tc>
          <w:tcPr/>
          <w:p>
            <w:pPr>
              <w:pStyle w:val="Compact"/>
            </w:pPr>
            <w:r>
              <w:t xml:space="preserve">Depth=12, learning_rate=0.03 (overfitting)</w:t>
            </w:r>
          </w:p>
        </w:tc>
      </w:tr>
      <w:tr>
        <w:tc>
          <w:tcPr/>
          <w:p>
            <w:pPr>
              <w:pStyle w:val="Compact"/>
            </w:pPr>
            <w:r>
              <w:t xml:space="preserve">GAM (Generalized Additive Model)</w:t>
            </w:r>
          </w:p>
        </w:tc>
        <w:tc>
          <w:tcPr/>
          <w:p>
            <w:pPr>
              <w:pStyle w:val="Compact"/>
            </w:pPr>
            <w:r>
              <w:t xml:space="preserve">10.23%</w:t>
            </w:r>
          </w:p>
        </w:tc>
        <w:tc>
          <w:tcPr/>
          <w:p>
            <w:pPr>
              <w:pStyle w:val="Compact"/>
            </w:pPr>
            <w:r>
              <w:t xml:space="preserve">Smooth terms for continuous variables, factor terms for categorical</w:t>
            </w:r>
          </w:p>
        </w:tc>
      </w:tr>
    </w:tbl>
    <w:p>
      <w:pPr>
        <w:pStyle w:val="BodyText"/>
      </w:pPr>
      <w:r>
        <w:t xml:space="preserve">Random Forest showed the best performance (11.09% R²), representing a 2.04 percentage point improvement over the current XGBoost model. GAM (Generalized Additive Model) achieved 10.23% R², providing a middle-ground performance between XGBoost and Random Forest, with the advantage of smooth non-linear relationships through smooth terms for continuous variables and factor terms for categorical variables. However, this improvement is modest, and the overall R² remains low (approximately 11-15% depending on the evaluation method), reflecting the fundamental challenge of predicting EDS from vehicle characteristics alone. We selected XGBoost for the final model because: (1) it achieved competitive performance (21.1% R² with full cross-validation on all 891,693 records), (2) it provides better interpretability through SHAP values, (3) it is more computationally efficient for large datasets, and (4) it aligns with best practices in explainable machine learning (Suarez et al., 2025). The modest differences between models (all achieving R² between 9-15%) confirm that EDS is inherently difficult to predict from vehicle-level data, regardless of the modeling approach, due to its strong dependence on unobserved driver behavior and charging habits.</w:t>
      </w:r>
    </w:p>
    <w:bookmarkEnd w:id="146"/>
    <w:bookmarkStart w:id="150" w:name="Xc5f356a41a30d096d3c76f1c7b348d63e54f77d"/>
    <w:p>
      <w:pPr>
        <w:pStyle w:val="Heading3"/>
      </w:pPr>
      <w:r>
        <w:rPr>
          <w:rStyle w:val="SectionNumber"/>
        </w:rPr>
        <w:t xml:space="preserve">1.14.3</w:t>
      </w:r>
      <w:r>
        <w:tab/>
      </w:r>
      <w:r>
        <w:t xml:space="preserve">Appendix C: Segmented Model Analysis for EDS Prediction</w:t>
      </w:r>
    </w:p>
    <w:p>
      <w:pPr>
        <w:pStyle w:val="FirstParagraph"/>
      </w:pPr>
      <w:r>
        <w:t xml:space="preserve">To explore whether model performance could be improved by isolating homogeneous vehicle groups, we tested segmented models by vehicle mass categories, segment types, and their combinations. The rationale is that within more homogeneous groups, the remaining variation in EDS might be more explainable by available predictors, as vehicle design characteristics are held more constant.</w:t>
      </w:r>
    </w:p>
    <w:p>
      <w:pPr>
        <w:pStyle w:val="BodyText"/>
      </w:pPr>
      <w:r>
        <w:rPr>
          <w:b/>
          <w:bCs/>
        </w:rPr>
        <w:t xml:space="preserve">Segmentation approaches tested:</w:t>
      </w:r>
      <w:r>
        <w:t xml:space="preserve"> </w:t>
      </w:r>
      <w:r>
        <w:t xml:space="preserve">1.</w:t>
      </w:r>
      <w:r>
        <w:t xml:space="preserve"> </w:t>
      </w:r>
      <w:r>
        <w:rPr>
          <w:b/>
          <w:bCs/>
        </w:rPr>
        <w:t xml:space="preserve">Mass categories:</w:t>
      </w:r>
      <w:r>
        <w:t xml:space="preserve"> </w:t>
      </w:r>
      <w:r>
        <w:t xml:space="preserve">Light (&lt;1600 kg), Medium (1600-2000 kg), Heavy (≥2000 kg)</w:t>
      </w:r>
      <w:r>
        <w:t xml:space="preserve"> </w:t>
      </w:r>
      <w:r>
        <w:t xml:space="preserve">2.</w:t>
      </w:r>
      <w:r>
        <w:t xml:space="preserve"> </w:t>
      </w:r>
      <w:r>
        <w:rPr>
          <w:b/>
          <w:bCs/>
        </w:rPr>
        <w:t xml:space="preserve">Vehicle segments:</w:t>
      </w:r>
      <w:r>
        <w:t xml:space="preserve"> </w:t>
      </w:r>
      <w:r>
        <w:t xml:space="preserve">Upper Medium Car, Lower Medium Car, Large Car</w:t>
      </w:r>
      <w:r>
        <w:t xml:space="preserve"> </w:t>
      </w:r>
      <w:r>
        <w:t xml:space="preserve">3.</w:t>
      </w:r>
      <w:r>
        <w:t xml:space="preserve"> </w:t>
      </w:r>
      <w:r>
        <w:rPr>
          <w:b/>
          <w:bCs/>
        </w:rPr>
        <w:t xml:space="preserve">Combined segmentation:</w:t>
      </w:r>
      <w:r>
        <w:t xml:space="preserve"> </w:t>
      </w:r>
      <w:r>
        <w:t xml:space="preserve">Segment × Mass combinations</w:t>
      </w:r>
      <w:r>
        <w:t xml:space="preserve"> </w:t>
      </w:r>
      <w:r>
        <w:t xml:space="preserve">4.</w:t>
      </w:r>
      <w:r>
        <w:t xml:space="preserve"> </w:t>
      </w:r>
      <w:r>
        <w:rPr>
          <w:b/>
          <w:bCs/>
        </w:rPr>
        <w:t xml:space="preserve">Country-level:</w:t>
      </w:r>
      <w:r>
        <w:t xml:space="preserve"> </w:t>
      </w:r>
      <w:r>
        <w:t xml:space="preserve">Top 5 countries by sample size</w:t>
      </w:r>
    </w:p>
    <w:p>
      <w:pPr>
        <w:pStyle w:val="BodyText"/>
      </w:pPr>
      <w:r>
        <w:rPr>
          <w:b/>
          <w:bCs/>
        </w:rPr>
        <w:t xml:space="preserve">Results:</w:t>
      </w:r>
      <w:r>
        <w:t xml:space="preserve"> </w:t>
      </w:r>
      <w:r>
        <w:t xml:space="preserve">Table A3 and Figure A2 summarize the cross-validation R² results for segmented models. Key findings:</w:t>
      </w:r>
    </w:p>
    <w:p>
      <w:pPr>
        <w:pStyle w:val="Compact"/>
        <w:numPr>
          <w:ilvl w:val="0"/>
          <w:numId w:val="1052"/>
        </w:numPr>
      </w:pPr>
      <w:r>
        <w:rPr>
          <w:b/>
          <w:bCs/>
        </w:rPr>
        <w:t xml:space="preserve">Overall model:</w:t>
      </w:r>
      <w:r>
        <w:t xml:space="preserve"> </w:t>
      </w:r>
      <w:r>
        <w:t xml:space="preserve">21.1% R² (baseline)</w:t>
      </w:r>
    </w:p>
    <w:p>
      <w:pPr>
        <w:pStyle w:val="Compact"/>
        <w:numPr>
          <w:ilvl w:val="0"/>
          <w:numId w:val="1052"/>
        </w:numPr>
      </w:pPr>
      <w:r>
        <w:rPr>
          <w:b/>
          <w:bCs/>
        </w:rPr>
        <w:t xml:space="preserve">Heavy vehicles (≥2000 kg):</w:t>
      </w:r>
      <w:r>
        <w:t xml:space="preserve"> </w:t>
      </w:r>
      <w:r>
        <w:t xml:space="preserve">23.1% R² (n = 471,892) —</w:t>
      </w:r>
      <w:r>
        <w:t xml:space="preserve"> </w:t>
      </w:r>
      <w:r>
        <w:rPr>
          <w:b/>
          <w:bCs/>
        </w:rPr>
        <w:t xml:space="preserve">9.5% relative improvement</w:t>
      </w:r>
    </w:p>
    <w:p>
      <w:pPr>
        <w:pStyle w:val="Compact"/>
        <w:numPr>
          <w:ilvl w:val="0"/>
          <w:numId w:val="1052"/>
        </w:numPr>
      </w:pPr>
      <w:r>
        <w:rPr>
          <w:b/>
          <w:bCs/>
        </w:rPr>
        <w:t xml:space="preserve">Medium vehicles (1600-2000 kg):</w:t>
      </w:r>
      <w:r>
        <w:t xml:space="preserve"> </w:t>
      </w:r>
      <w:r>
        <w:t xml:space="preserve">17.2% R² (n = 419,801) — lower than overall</w:t>
      </w:r>
    </w:p>
    <w:p>
      <w:pPr>
        <w:pStyle w:val="Compact"/>
        <w:numPr>
          <w:ilvl w:val="0"/>
          <w:numId w:val="1052"/>
        </w:numPr>
      </w:pPr>
      <w:r>
        <w:rPr>
          <w:b/>
          <w:bCs/>
        </w:rPr>
        <w:t xml:space="preserve">Best combination:</w:t>
      </w:r>
      <w:r>
        <w:t xml:space="preserve"> </w:t>
      </w:r>
      <w:r>
        <w:t xml:space="preserve">Upper Medium Car × Heavy mass: 23.6% R² (n = 245,247) —</w:t>
      </w:r>
      <w:r>
        <w:t xml:space="preserve"> </w:t>
      </w:r>
      <w:r>
        <w:rPr>
          <w:b/>
          <w:bCs/>
        </w:rPr>
        <w:t xml:space="preserve">11.8% relative improvement</w:t>
      </w:r>
    </w:p>
    <w:p>
      <w:pPr>
        <w:pStyle w:val="FirstParagraph"/>
      </w:pPr>
      <w:r>
        <w:rPr>
          <w:b/>
          <w:bCs/>
        </w:rPr>
        <w:t xml:space="preserve">Interpretation:</w:t>
      </w:r>
      <w:r>
        <w:t xml:space="preserve"> </w:t>
      </w:r>
      <w:r>
        <w:t xml:space="preserve">The improvement for heavy vehicles (from 21.1% to 23.1%) represents a 2.0 percentage point absolute increase and a 9.5% relative increase in explained variance. However, the weighted average R² across all segments (20.3%) is slightly lower than the overall model, as some groups (e.g., medium-mass vehicles) show lower R². This suggests that:</w:t>
      </w:r>
    </w:p>
    <w:p>
      <w:pPr>
        <w:numPr>
          <w:ilvl w:val="0"/>
          <w:numId w:val="1053"/>
        </w:numPr>
      </w:pPr>
      <w:r>
        <w:rPr>
          <w:b/>
          <w:bCs/>
        </w:rPr>
        <w:t xml:space="preserve">Segmentation can improve explainability within homogeneous groups</w:t>
      </w:r>
      <w:r>
        <w:t xml:space="preserve"> </w:t>
      </w:r>
      <w:r>
        <w:t xml:space="preserve">— by reducing variation in vehicle design characteristics, the remaining variation in EDS becomes more explainable by usage patterns, country-level factors, and other predictors.</w:t>
      </w:r>
    </w:p>
    <w:p>
      <w:pPr>
        <w:numPr>
          <w:ilvl w:val="0"/>
          <w:numId w:val="1053"/>
        </w:numPr>
      </w:pPr>
      <w:r>
        <w:rPr>
          <w:b/>
          <w:bCs/>
        </w:rPr>
        <w:t xml:space="preserve">The overall predictive power remains limited</w:t>
      </w:r>
      <w:r>
        <w:t xml:space="preserve"> </w:t>
      </w:r>
      <w:r>
        <w:t xml:space="preserve">— even with segmentation, R² remains modest (17-24%), confirming that EDS is fundamentally difficult to predict from vehicle-level data due to its strong dependence on unobserved driver behavior and charging habits.</w:t>
      </w:r>
    </w:p>
    <w:p>
      <w:pPr>
        <w:numPr>
          <w:ilvl w:val="0"/>
          <w:numId w:val="1053"/>
        </w:numPr>
      </w:pPr>
      <w:r>
        <w:rPr>
          <w:b/>
          <w:bCs/>
        </w:rPr>
        <w:t xml:space="preserve">Heavy vehicles show better predictability</w:t>
      </w:r>
      <w:r>
        <w:t xml:space="preserve"> </w:t>
      </w:r>
      <w:r>
        <w:t xml:space="preserve">— this may reflect that heavy vehicles are more constrained in their usage patterns (e.g., more likely used for longer trips, less variation in charging behavior), making EDS more predictable from available predictors.</w:t>
      </w:r>
    </w:p>
    <w:p>
      <w:pPr>
        <w:pStyle w:val="FirstParagraph"/>
      </w:pPr>
      <w:r>
        <w:rPr>
          <w:b/>
          <w:bCs/>
        </w:rPr>
        <w:t xml:space="preserve">Table A3: Segmented Model Performance for EDS Prediction</w:t>
      </w:r>
    </w:p>
    <w:p>
      <w:pPr>
        <w:pStyle w:val="BodyText"/>
      </w:pPr>
      <w:r>
        <w:rPr>
          <w:i/>
          <w:iCs/>
        </w:rPr>
        <w:t xml:space="preserve">Note: See</w:t>
      </w:r>
      <w:r>
        <w:rPr>
          <w:i/>
          <w:iCs/>
        </w:rPr>
        <w:t xml:space="preserve"> </w:t>
      </w:r>
      <w:r>
        <w:rPr>
          <w:rStyle w:val="VerbatimChar"/>
          <w:i/>
          <w:iCs/>
        </w:rPr>
        <w:t xml:space="preserve">tables/segmented_eds_model_results.csv</w:t>
      </w:r>
      <w:r>
        <w:rPr>
          <w:i/>
          <w:iCs/>
        </w:rPr>
        <w:t xml:space="preserve"> </w:t>
      </w:r>
      <w:r>
        <w:rPr>
          <w:i/>
          <w:iCs/>
        </w:rPr>
        <w:t xml:space="preserve">for the full numerical results.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Model Type</w:t>
            </w:r>
          </w:p>
        </w:tc>
        <w:tc>
          <w:tcPr/>
          <w:p>
            <w:pPr>
              <w:pStyle w:val="Compact"/>
            </w:pPr>
            <w:r>
              <w:t xml:space="preserve">N</w:t>
            </w:r>
          </w:p>
        </w:tc>
        <w:tc>
          <w:tcPr/>
          <w:p>
            <w:pPr>
              <w:pStyle w:val="Compact"/>
            </w:pPr>
            <w:r>
              <w:t xml:space="preserve">CV R²</w:t>
            </w:r>
          </w:p>
        </w:tc>
        <w:tc>
          <w:tcPr/>
          <w:p>
            <w:pPr>
              <w:pStyle w:val="Compact"/>
            </w:pPr>
            <w:r>
              <w:t xml:space="preserve">CV R² SD</w:t>
            </w:r>
          </w:p>
        </w:tc>
        <w:tc>
          <w:tcPr/>
          <w:p>
            <w:pPr>
              <w:pStyle w:val="Compact"/>
            </w:pPr>
            <w:r>
              <w:t xml:space="preserve">Mean EDS (%)</w:t>
            </w:r>
          </w:p>
        </w:tc>
        <w:tc>
          <w:tcPr/>
          <w:p>
            <w:pPr>
              <w:pStyle w:val="Compact"/>
            </w:pPr>
            <w:r>
              <w:t xml:space="preserve">SD EDS (%)</w:t>
            </w:r>
          </w:p>
        </w:tc>
      </w:tr>
      <w:tr>
        <w:tc>
          <w:tcPr/>
          <w:p>
            <w:pPr>
              <w:pStyle w:val="Compact"/>
            </w:pPr>
            <w:r>
              <w:t xml:space="preserve">Overall (all data)</w:t>
            </w:r>
          </w:p>
        </w:tc>
        <w:tc>
          <w:tcPr/>
          <w:p>
            <w:pPr>
              <w:pStyle w:val="Compact"/>
            </w:pPr>
            <w:r>
              <w:t xml:space="preserve">891,693</w:t>
            </w:r>
          </w:p>
        </w:tc>
        <w:tc>
          <w:tcPr/>
          <w:p>
            <w:pPr>
              <w:pStyle w:val="Compact"/>
            </w:pPr>
            <w:r>
              <w:t xml:space="preserve">21.1</w:t>
            </w:r>
          </w:p>
        </w:tc>
        <w:tc>
          <w:tcPr/>
          <w:p>
            <w:pPr>
              <w:pStyle w:val="Compact"/>
            </w:pPr>
            <w:r>
              <w:t xml:space="preserve">0.2</w:t>
            </w:r>
          </w:p>
        </w:tc>
        <w:tc>
          <w:tcPr/>
          <w:p>
            <w:pPr>
              <w:pStyle w:val="Compact"/>
            </w:pPr>
            <w:r>
              <w:t xml:space="preserve">29.4</w:t>
            </w:r>
          </w:p>
        </w:tc>
        <w:tc>
          <w:tcPr/>
          <w:p>
            <w:pPr>
              <w:pStyle w:val="Compact"/>
            </w:pPr>
            <w:r>
              <w:t xml:space="preserve">21.2</w:t>
            </w:r>
          </w:p>
        </w:tc>
      </w:tr>
      <w:tr>
        <w:tc>
          <w:tcPr/>
          <w:p>
            <w:pPr>
              <w:pStyle w:val="Compact"/>
            </w:pPr>
            <w:r>
              <w:t xml:space="preserve">Heavy vehicles (≥2000 kg)</w:t>
            </w:r>
          </w:p>
        </w:tc>
        <w:tc>
          <w:tcPr/>
          <w:p>
            <w:pPr>
              <w:pStyle w:val="Compact"/>
            </w:pPr>
            <w:r>
              <w:t xml:space="preserve">471,892</w:t>
            </w:r>
          </w:p>
        </w:tc>
        <w:tc>
          <w:tcPr/>
          <w:p>
            <w:pPr>
              <w:pStyle w:val="Compact"/>
            </w:pPr>
            <w:r>
              <w:t xml:space="preserve">23.1</w:t>
            </w:r>
          </w:p>
        </w:tc>
        <w:tc>
          <w:tcPr/>
          <w:p>
            <w:pPr>
              <w:pStyle w:val="Compact"/>
            </w:pPr>
            <w:r>
              <w:t xml:space="preserve">0.2</w:t>
            </w:r>
          </w:p>
        </w:tc>
        <w:tc>
          <w:tcPr/>
          <w:p>
            <w:pPr>
              <w:pStyle w:val="Compact"/>
            </w:pPr>
            <w:r>
              <w:t xml:space="preserve">27.1</w:t>
            </w:r>
          </w:p>
        </w:tc>
        <w:tc>
          <w:tcPr/>
          <w:p>
            <w:pPr>
              <w:pStyle w:val="Compact"/>
            </w:pPr>
            <w:r>
              <w:t xml:space="preserve">20.1</w:t>
            </w:r>
          </w:p>
        </w:tc>
      </w:tr>
      <w:tr>
        <w:tc>
          <w:tcPr/>
          <w:p>
            <w:pPr>
              <w:pStyle w:val="Compact"/>
            </w:pPr>
            <w:r>
              <w:t xml:space="preserve">Medium vehicles (1600-2000 kg)</w:t>
            </w:r>
          </w:p>
        </w:tc>
        <w:tc>
          <w:tcPr/>
          <w:p>
            <w:pPr>
              <w:pStyle w:val="Compact"/>
            </w:pPr>
            <w:r>
              <w:t xml:space="preserve">419,801</w:t>
            </w:r>
          </w:p>
        </w:tc>
        <w:tc>
          <w:tcPr/>
          <w:p>
            <w:pPr>
              <w:pStyle w:val="Compact"/>
            </w:pPr>
            <w:r>
              <w:t xml:space="preserve">17.2</w:t>
            </w:r>
          </w:p>
        </w:tc>
        <w:tc>
          <w:tcPr/>
          <w:p>
            <w:pPr>
              <w:pStyle w:val="Compact"/>
            </w:pPr>
            <w:r>
              <w:t xml:space="preserve">0.2</w:t>
            </w:r>
          </w:p>
        </w:tc>
        <w:tc>
          <w:tcPr/>
          <w:p>
            <w:pPr>
              <w:pStyle w:val="Compact"/>
            </w:pPr>
            <w:r>
              <w:t xml:space="preserve">31.9</w:t>
            </w:r>
          </w:p>
        </w:tc>
        <w:tc>
          <w:tcPr/>
          <w:p>
            <w:pPr>
              <w:pStyle w:val="Compact"/>
            </w:pPr>
            <w:r>
              <w:t xml:space="preserve">22.3</w:t>
            </w:r>
          </w:p>
        </w:tc>
      </w:tr>
      <w:tr>
        <w:tc>
          <w:tcPr/>
          <w:p>
            <w:pPr>
              <w:pStyle w:val="Compact"/>
            </w:pPr>
            <w:r>
              <w:t xml:space="preserve">Upper Medium Car × Heavy</w:t>
            </w:r>
          </w:p>
        </w:tc>
        <w:tc>
          <w:tcPr/>
          <w:p>
            <w:pPr>
              <w:pStyle w:val="Compact"/>
            </w:pPr>
            <w:r>
              <w:t xml:space="preserve">245,247</w:t>
            </w:r>
          </w:p>
        </w:tc>
        <w:tc>
          <w:tcPr/>
          <w:p>
            <w:pPr>
              <w:pStyle w:val="Compact"/>
            </w:pPr>
            <w:r>
              <w:t xml:space="preserve">23.6</w:t>
            </w:r>
          </w:p>
        </w:tc>
        <w:tc>
          <w:tcPr/>
          <w:p>
            <w:pPr>
              <w:pStyle w:val="Compact"/>
            </w:pPr>
            <w:r>
              <w:t xml:space="preserve">0.3</w:t>
            </w:r>
          </w:p>
        </w:tc>
        <w:tc>
          <w:tcPr/>
          <w:p>
            <w:pPr>
              <w:pStyle w:val="Compact"/>
            </w:pPr>
            <w:r>
              <w:t xml:space="preserve">28.0</w:t>
            </w:r>
          </w:p>
        </w:tc>
        <w:tc>
          <w:tcPr/>
          <w:p>
            <w:pPr>
              <w:pStyle w:val="Compact"/>
            </w:pPr>
            <w:r>
              <w:t xml:space="preserve">20.5</w:t>
            </w:r>
          </w:p>
        </w:tc>
      </w:tr>
      <w:tr>
        <w:tc>
          <w:tcPr/>
          <w:p>
            <w:pPr>
              <w:pStyle w:val="Compact"/>
            </w:pPr>
            <w:r>
              <w:t xml:space="preserve">Lower Medium Car × Heavy</w:t>
            </w:r>
          </w:p>
        </w:tc>
        <w:tc>
          <w:tcPr/>
          <w:p>
            <w:pPr>
              <w:pStyle w:val="Compact"/>
            </w:pPr>
            <w:r>
              <w:t xml:space="preserve">40,456</w:t>
            </w:r>
          </w:p>
        </w:tc>
        <w:tc>
          <w:tcPr/>
          <w:p>
            <w:pPr>
              <w:pStyle w:val="Compact"/>
            </w:pPr>
            <w:r>
              <w:t xml:space="preserve">22.1</w:t>
            </w:r>
          </w:p>
        </w:tc>
        <w:tc>
          <w:tcPr/>
          <w:p>
            <w:pPr>
              <w:pStyle w:val="Compact"/>
            </w:pPr>
            <w:r>
              <w:t xml:space="preserve">1.0</w:t>
            </w:r>
          </w:p>
        </w:tc>
        <w:tc>
          <w:tcPr/>
          <w:p>
            <w:pPr>
              <w:pStyle w:val="Compact"/>
            </w:pPr>
            <w:r>
              <w:t xml:space="preserve">25.6</w:t>
            </w:r>
          </w:p>
        </w:tc>
        <w:tc>
          <w:tcPr/>
          <w:p>
            <w:pPr>
              <w:pStyle w:val="Compact"/>
            </w:pPr>
            <w:r>
              <w:t xml:space="preserve">19.8</w:t>
            </w:r>
          </w:p>
        </w:tc>
      </w:tr>
      <w:tr>
        <w:tc>
          <w:tcPr/>
          <w:p>
            <w:pPr>
              <w:pStyle w:val="Compact"/>
            </w:pPr>
            <w:r>
              <w:t xml:space="preserve">Large Car × Heavy</w:t>
            </w:r>
          </w:p>
        </w:tc>
        <w:tc>
          <w:tcPr/>
          <w:p>
            <w:pPr>
              <w:pStyle w:val="Compact"/>
            </w:pPr>
            <w:r>
              <w:t xml:space="preserve">180,079</w:t>
            </w:r>
          </w:p>
        </w:tc>
        <w:tc>
          <w:tcPr/>
          <w:p>
            <w:pPr>
              <w:pStyle w:val="Compact"/>
            </w:pPr>
            <w:r>
              <w:t xml:space="preserve">20.0</w:t>
            </w:r>
          </w:p>
        </w:tc>
        <w:tc>
          <w:tcPr/>
          <w:p>
            <w:pPr>
              <w:pStyle w:val="Compact"/>
            </w:pPr>
            <w:r>
              <w:t xml:space="preserve">0.4</w:t>
            </w:r>
          </w:p>
        </w:tc>
        <w:tc>
          <w:tcPr/>
          <w:p>
            <w:pPr>
              <w:pStyle w:val="Compact"/>
            </w:pPr>
            <w:r>
              <w:t xml:space="preserve">26.4</w:t>
            </w:r>
          </w:p>
        </w:tc>
        <w:tc>
          <w:tcPr/>
          <w:p>
            <w:pPr>
              <w:pStyle w:val="Compact"/>
            </w:pPr>
            <w:r>
              <w:t xml:space="preserve">19.6</w:t>
            </w:r>
          </w:p>
        </w:tc>
      </w:tr>
    </w:tbl>
    <w:p>
      <w:pPr>
        <w:pStyle w:val="BodyText"/>
      </w:pPr>
      <w:r>
        <w:rPr>
          <w:b/>
          <w:bCs/>
        </w:rPr>
        <w:t xml:space="preserve">Figure A2: Segmented Model Performance Comparison</w:t>
      </w:r>
    </w:p>
    <w:p>
      <w:pPr>
        <w:pStyle w:val="CaptionedFigure"/>
      </w:pPr>
      <w:r>
        <w:drawing>
          <wp:inline>
            <wp:extent cx="5334000" cy="3200399"/>
            <wp:effectExtent b="0" l="0" r="0" t="0"/>
            <wp:docPr descr="Figure A2" title="" id="148" name="Picture"/>
            <a:graphic>
              <a:graphicData uri="http://schemas.openxmlformats.org/drawingml/2006/picture">
                <pic:pic>
                  <pic:nvPicPr>
                    <pic:cNvPr descr="figures/segmented_eds_model_comparison.png" id="149" name="Picture"/>
                    <pic:cNvPicPr>
                      <a:picLocks noChangeArrowheads="1" noChangeAspect="1"/>
                    </pic:cNvPicPr>
                  </pic:nvPicPr>
                  <pic:blipFill>
                    <a:blip r:embed="rId147"/>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A2</w:t>
      </w:r>
    </w:p>
    <w:p>
      <w:pPr>
        <w:pStyle w:val="BodyText"/>
      </w:pPr>
      <w:r>
        <w:rPr>
          <w:i/>
          <w:iCs/>
        </w:rPr>
        <w:t xml:space="preserve">Figure A2: Cross-validation R² for overall and segmented EDS models. Error bars show ±1 SD. Heavy vehicles and specific segment×mass combinations achieve modestly higher R² (23.1-23.6%) compared to the overall model (21.1%), representing 9.5-11.8% relative improvements. However, the weighted average across all segments (20.3%) is slightly lower than the overall model, as some groups show lower R².</w:t>
      </w:r>
    </w:p>
    <w:p>
      <w:r>
        <w:pict>
          <v:rect style="width:0;height:1.5pt" o:hralign="center" o:hrstd="t" o:hr="t"/>
        </w:pict>
      </w:r>
    </w:p>
    <w:bookmarkEnd w:id="150"/>
    <w:bookmarkEnd w:id="151"/>
    <w:bookmarkEnd w:id="152"/>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infrastructure_level</w:t>
            </w:r>
          </w:p>
        </w:tc>
        <w:tc>
          <w:tcPr>
            <w:tcW w:type="dxa" w:w="1872"/>
          </w:tcPr>
          <w:p>
            <w:r>
              <w:rPr>
                <w:b/>
              </w:rPr>
              <w:t>n</w:t>
            </w:r>
          </w:p>
        </w:tc>
        <w:tc>
          <w:tcPr>
            <w:tcW w:type="dxa" w:w="1872"/>
          </w:tcPr>
          <w:p>
            <w:r>
              <w:rPr>
                <w:b/>
              </w:rPr>
              <w:t>mean_EDS</w:t>
            </w:r>
          </w:p>
        </w:tc>
        <w:tc>
          <w:tcPr>
            <w:tcW w:type="dxa" w:w="1872"/>
          </w:tcPr>
          <w:p>
            <w:r>
              <w:rPr>
                <w:b/>
              </w:rPr>
              <w:t>median_EDS</w:t>
            </w:r>
          </w:p>
        </w:tc>
        <w:tc>
          <w:tcPr>
            <w:tcW w:type="dxa" w:w="1872"/>
          </w:tcPr>
          <w:p>
            <w:r>
              <w:rPr>
                <w:b/>
              </w:rPr>
              <w:t>mean_Energy</w:t>
            </w:r>
          </w:p>
        </w:tc>
      </w:tr>
      <w:tr>
        <w:tc>
          <w:tcPr>
            <w:tcW w:type="dxa" w:w="1872"/>
          </w:tcPr>
          <w:p>
            <w:r>
              <w:t>High</w:t>
            </w:r>
          </w:p>
        </w:tc>
        <w:tc>
          <w:tcPr>
            <w:tcW w:type="dxa" w:w="1872"/>
          </w:tcPr>
          <w:p>
            <w:r>
              <w:t>33091</w:t>
            </w:r>
          </w:p>
        </w:tc>
        <w:tc>
          <w:tcPr>
            <w:tcW w:type="dxa" w:w="1872"/>
          </w:tcPr>
          <w:p>
            <w:r>
              <w:t>39.0262014547574</w:t>
            </w:r>
          </w:p>
        </w:tc>
        <w:tc>
          <w:tcPr>
            <w:tcW w:type="dxa" w:w="1872"/>
          </w:tcPr>
          <w:p>
            <w:r>
              <w:t>39.5900828261911</w:t>
            </w:r>
          </w:p>
        </w:tc>
        <w:tc>
          <w:tcPr>
            <w:tcW w:type="dxa" w:w="1872"/>
          </w:tcPr>
          <w:p>
            <w:r>
              <w:t>55.8389100068803</w:t>
            </w:r>
          </w:p>
        </w:tc>
      </w:tr>
      <w:tr>
        <w:tc>
          <w:tcPr>
            <w:tcW w:type="dxa" w:w="1872"/>
          </w:tcPr>
          <w:p>
            <w:r>
              <w:t>Medium</w:t>
            </w:r>
          </w:p>
        </w:tc>
        <w:tc>
          <w:tcPr>
            <w:tcW w:type="dxa" w:w="1872"/>
          </w:tcPr>
          <w:p>
            <w:r>
              <w:t>867434</w:t>
            </w:r>
          </w:p>
        </w:tc>
        <w:tc>
          <w:tcPr>
            <w:tcW w:type="dxa" w:w="1872"/>
          </w:tcPr>
          <w:p>
            <w:r>
              <w:t>29.0025611190323</w:t>
            </w:r>
          </w:p>
        </w:tc>
        <w:tc>
          <w:tcPr>
            <w:tcW w:type="dxa" w:w="1872"/>
          </w:tcPr>
          <w:p>
            <w:r>
              <w:t>26.5834370209215</w:t>
            </w:r>
          </w:p>
        </w:tc>
        <w:tc>
          <w:tcPr>
            <w:tcW w:type="dxa" w:w="1872"/>
          </w:tcPr>
          <w:p>
            <w:r>
              <w:t>59.974477142826</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infrastructure_level</w:t>
            </w:r>
          </w:p>
        </w:tc>
        <w:tc>
          <w:tcPr>
            <w:tcW w:type="dxa" w:w="2340"/>
          </w:tcPr>
          <w:p>
            <w:r>
              <w:rPr>
                <w:b/>
              </w:rPr>
              <w:t>n_countries</w:t>
            </w:r>
          </w:p>
        </w:tc>
        <w:tc>
          <w:tcPr>
            <w:tcW w:type="dxa" w:w="2340"/>
          </w:tcPr>
          <w:p>
            <w:r>
              <w:rPr>
                <w:b/>
              </w:rPr>
              <w:t>mean_EDS</w:t>
            </w:r>
          </w:p>
        </w:tc>
        <w:tc>
          <w:tcPr>
            <w:tcW w:type="dxa" w:w="2340"/>
          </w:tcPr>
          <w:p>
            <w:r>
              <w:rPr>
                <w:b/>
              </w:rPr>
              <w:t>median_EDS</w:t>
            </w:r>
          </w:p>
        </w:tc>
      </w:tr>
      <w:tr>
        <w:tc>
          <w:tcPr>
            <w:tcW w:type="dxa" w:w="2340"/>
          </w:tcPr>
          <w:p>
            <w:r>
              <w:t>High</w:t>
            </w:r>
          </w:p>
        </w:tc>
        <w:tc>
          <w:tcPr>
            <w:tcW w:type="dxa" w:w="2340"/>
          </w:tcPr>
          <w:p>
            <w:r>
              <w:t>5</w:t>
            </w:r>
          </w:p>
        </w:tc>
        <w:tc>
          <w:tcPr>
            <w:tcW w:type="dxa" w:w="2340"/>
          </w:tcPr>
          <w:p>
            <w:r>
              <w:t>40.9286103511672</w:t>
            </w:r>
          </w:p>
        </w:tc>
        <w:tc>
          <w:tcPr>
            <w:tcW w:type="dxa" w:w="2340"/>
          </w:tcPr>
          <w:p>
            <w:r>
              <w:t>40.9286103511672</w:t>
            </w:r>
          </w:p>
        </w:tc>
      </w:tr>
      <w:tr>
        <w:tc>
          <w:tcPr>
            <w:tcW w:type="dxa" w:w="2340"/>
          </w:tcPr>
          <w:p>
            <w:r>
              <w:t>Medium</w:t>
            </w:r>
          </w:p>
        </w:tc>
        <w:tc>
          <w:tcPr>
            <w:tcW w:type="dxa" w:w="2340"/>
          </w:tcPr>
          <w:p>
            <w:r>
              <w:t>24</w:t>
            </w:r>
          </w:p>
        </w:tc>
        <w:tc>
          <w:tcPr>
            <w:tcW w:type="dxa" w:w="2340"/>
          </w:tcPr>
          <w:p>
            <w:r>
              <w:t>30.1222016564533</w:t>
            </w:r>
          </w:p>
        </w:tc>
        <w:tc>
          <w:tcPr>
            <w:tcW w:type="dxa" w:w="2340"/>
          </w:tcPr>
          <w:p>
            <w:r>
              <w:t>30.1222016564533</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Year</w:t>
            </w:r>
          </w:p>
        </w:tc>
        <w:tc>
          <w:tcPr>
            <w:tcW w:type="dxa" w:w="1560"/>
          </w:tcPr>
          <w:p>
            <w:r>
              <w:rPr>
                <w:b/>
              </w:rPr>
              <w:t>n</w:t>
            </w:r>
          </w:p>
        </w:tc>
        <w:tc>
          <w:tcPr>
            <w:tcW w:type="dxa" w:w="1560"/>
          </w:tcPr>
          <w:p>
            <w:r>
              <w:rPr>
                <w:b/>
              </w:rPr>
              <w:t>EDSen_mech_median</w:t>
            </w:r>
          </w:p>
        </w:tc>
        <w:tc>
          <w:tcPr>
            <w:tcW w:type="dxa" w:w="1560"/>
          </w:tcPr>
          <w:p>
            <w:r>
              <w:rPr>
                <w:b/>
              </w:rPr>
              <w:t>EDSen_mech_mean</w:t>
            </w:r>
          </w:p>
        </w:tc>
        <w:tc>
          <w:tcPr>
            <w:tcW w:type="dxa" w:w="1560"/>
          </w:tcPr>
          <w:p>
            <w:r>
              <w:rPr>
                <w:b/>
              </w:rPr>
              <w:t>EnTot_median</w:t>
            </w:r>
          </w:p>
        </w:tc>
        <w:tc>
          <w:tcPr>
            <w:tcW w:type="dxa" w:w="1560"/>
          </w:tcPr>
          <w:p>
            <w:r>
              <w:rPr>
                <w:b/>
              </w:rPr>
              <w:t>EnTot_mean</w:t>
            </w:r>
          </w:p>
        </w:tc>
      </w:tr>
      <w:tr>
        <w:tc>
          <w:tcPr>
            <w:tcW w:type="dxa" w:w="1560"/>
          </w:tcPr>
          <w:p>
            <w:r>
              <w:t>2021.0</w:t>
            </w:r>
          </w:p>
        </w:tc>
        <w:tc>
          <w:tcPr>
            <w:tcW w:type="dxa" w:w="1560"/>
          </w:tcPr>
          <w:p>
            <w:r>
              <w:t>447672.0</w:t>
            </w:r>
          </w:p>
        </w:tc>
        <w:tc>
          <w:tcPr>
            <w:tcW w:type="dxa" w:w="1560"/>
          </w:tcPr>
          <w:p>
            <w:r>
              <w:t>26.9197942164289</w:t>
            </w:r>
          </w:p>
        </w:tc>
        <w:tc>
          <w:tcPr>
            <w:tcW w:type="dxa" w:w="1560"/>
          </w:tcPr>
          <w:p>
            <w:r>
              <w:t>29.247100137129</w:t>
            </w:r>
          </w:p>
        </w:tc>
        <w:tc>
          <w:tcPr>
            <w:tcW w:type="dxa" w:w="1560"/>
          </w:tcPr>
          <w:p>
            <w:r>
              <w:t>57.6025760089376</w:t>
            </w:r>
          </w:p>
        </w:tc>
        <w:tc>
          <w:tcPr>
            <w:tcW w:type="dxa" w:w="1560"/>
          </w:tcPr>
          <w:p>
            <w:r>
              <w:t>59.0478599992566</w:t>
            </w:r>
          </w:p>
        </w:tc>
      </w:tr>
      <w:tr>
        <w:tc>
          <w:tcPr>
            <w:tcW w:type="dxa" w:w="1560"/>
          </w:tcPr>
          <w:p>
            <w:r>
              <w:t>2022.0</w:t>
            </w:r>
          </w:p>
        </w:tc>
        <w:tc>
          <w:tcPr>
            <w:tcW w:type="dxa" w:w="1560"/>
          </w:tcPr>
          <w:p>
            <w:r>
              <w:t>325067.0</w:t>
            </w:r>
          </w:p>
        </w:tc>
        <w:tc>
          <w:tcPr>
            <w:tcW w:type="dxa" w:w="1560"/>
          </w:tcPr>
          <w:p>
            <w:r>
              <w:t>26.6616994307296</w:t>
            </w:r>
          </w:p>
        </w:tc>
        <w:tc>
          <w:tcPr>
            <w:tcW w:type="dxa" w:w="1560"/>
          </w:tcPr>
          <w:p>
            <w:r>
              <w:t>28.9609968585132</w:t>
            </w:r>
          </w:p>
        </w:tc>
        <w:tc>
          <w:tcPr>
            <w:tcW w:type="dxa" w:w="1560"/>
          </w:tcPr>
          <w:p>
            <w:r>
              <w:t>58.6860231754579</w:t>
            </w:r>
          </w:p>
        </w:tc>
        <w:tc>
          <w:tcPr>
            <w:tcW w:type="dxa" w:w="1560"/>
          </w:tcPr>
          <w:p>
            <w:r>
              <w:t>60.252313105749</w:t>
            </w:r>
          </w:p>
        </w:tc>
      </w:tr>
      <w:tr>
        <w:tc>
          <w:tcPr>
            <w:tcW w:type="dxa" w:w="1560"/>
          </w:tcPr>
          <w:p>
            <w:r>
              <w:t>2023.0</w:t>
            </w:r>
          </w:p>
        </w:tc>
        <w:tc>
          <w:tcPr>
            <w:tcW w:type="dxa" w:w="1560"/>
          </w:tcPr>
          <w:p>
            <w:r>
              <w:t>127786.0</w:t>
            </w:r>
          </w:p>
        </w:tc>
        <w:tc>
          <w:tcPr>
            <w:tcW w:type="dxa" w:w="1560"/>
          </w:tcPr>
          <w:p>
            <w:r>
              <w:t>28.4596179470675</w:t>
            </w:r>
          </w:p>
        </w:tc>
        <w:tc>
          <w:tcPr>
            <w:tcW w:type="dxa" w:w="1560"/>
          </w:tcPr>
          <w:p>
            <w:r>
              <w:t>30.8472873058942</w:t>
            </w:r>
          </w:p>
        </w:tc>
        <w:tc>
          <w:tcPr>
            <w:tcW w:type="dxa" w:w="1560"/>
          </w:tcPr>
          <w:p>
            <w:r>
              <w:t>58.6091030754559</w:t>
            </w:r>
          </w:p>
        </w:tc>
        <w:tc>
          <w:tcPr>
            <w:tcW w:type="dxa" w:w="1560"/>
          </w:tcPr>
          <w:p>
            <w:r>
              <w:t>61.4429885199794</w:t>
            </w:r>
          </w:p>
        </w:tc>
      </w:tr>
    </w:tbl>
    <w:tbl>
      <w:tblPr>
        <w:tblW w:type="auto" w:w="0"/>
        <w:tblLook w:firstColumn="1" w:firstRow="1" w:lastColumn="0" w:lastRow="0" w:noHBand="0" w:noVBand="1" w:val="04A0"/>
      </w:tblPr>
      <w:tblGrid>
        <w:gridCol w:w="3120"/>
        <w:gridCol w:w="3120"/>
        <w:gridCol w:w="3120"/>
      </w:tblGrid>
      <w:tr>
        <w:tc>
          <w:tcPr>
            <w:tcW w:type="dxa" w:w="3120"/>
          </w:tcPr>
          <w:p>
            <w:r>
              <w:rPr>
                <w:b/>
              </w:rPr>
              <w:t>Metric</w:t>
            </w:r>
          </w:p>
        </w:tc>
        <w:tc>
          <w:tcPr>
            <w:tcW w:type="dxa" w:w="3120"/>
          </w:tcPr>
          <w:p>
            <w:r>
              <w:rPr>
                <w:b/>
              </w:rPr>
              <w:t>Value</w:t>
            </w:r>
          </w:p>
        </w:tc>
        <w:tc>
          <w:tcPr>
            <w:tcW w:type="dxa" w:w="3120"/>
          </w:tcPr>
          <w:p>
            <w:r>
              <w:rPr>
                <w:b/>
              </w:rPr>
              <w:t>Unit</w:t>
            </w:r>
          </w:p>
        </w:tc>
      </w:tr>
      <w:tr>
        <w:tc>
          <w:tcPr>
            <w:tcW w:type="dxa" w:w="3120"/>
          </w:tcPr>
          <w:p>
            <w:r>
              <w:t>R²</w:t>
            </w:r>
          </w:p>
        </w:tc>
        <w:tc>
          <w:tcPr>
            <w:tcW w:type="dxa" w:w="3120"/>
          </w:tcPr>
          <w:p>
            <w:r>
              <w:t>0.197</w:t>
            </w:r>
          </w:p>
        </w:tc>
        <w:tc>
          <w:tcPr>
            <w:tcW w:type="dxa" w:w="3120"/>
          </w:tcPr>
          <w:p>
            <w:r/>
          </w:p>
        </w:tc>
      </w:tr>
      <w:tr>
        <w:tc>
          <w:tcPr>
            <w:tcW w:type="dxa" w:w="3120"/>
          </w:tcPr>
          <w:p>
            <w:r>
              <w:t>RMSE</w:t>
            </w:r>
          </w:p>
        </w:tc>
        <w:tc>
          <w:tcPr>
            <w:tcW w:type="dxa" w:w="3120"/>
          </w:tcPr>
          <w:p>
            <w:r>
              <w:t>19.12</w:t>
            </w:r>
          </w:p>
        </w:tc>
        <w:tc>
          <w:tcPr>
            <w:tcW w:type="dxa" w:w="3120"/>
          </w:tcPr>
          <w:p>
            <w:r>
              <w:t>%</w:t>
            </w:r>
          </w:p>
        </w:tc>
      </w:tr>
      <w:tr>
        <w:tc>
          <w:tcPr>
            <w:tcW w:type="dxa" w:w="3120"/>
          </w:tcPr>
          <w:p>
            <w:r>
              <w:t>MAE</w:t>
            </w:r>
          </w:p>
        </w:tc>
        <w:tc>
          <w:tcPr>
            <w:tcW w:type="dxa" w:w="3120"/>
          </w:tcPr>
          <w:p>
            <w:r>
              <w:t>15.3</w:t>
            </w:r>
          </w:p>
        </w:tc>
        <w:tc>
          <w:tcPr>
            <w:tcW w:type="dxa" w:w="3120"/>
          </w:tcPr>
          <w:p>
            <w:r>
              <w:t>%</w:t>
            </w:r>
          </w:p>
        </w:tc>
      </w:tr>
      <w:tr>
        <w:tc>
          <w:tcPr>
            <w:tcW w:type="dxa" w:w="3120"/>
          </w:tcPr>
          <w:p>
            <w:r>
              <w:t>MAPE</w:t>
            </w:r>
          </w:p>
        </w:tc>
        <w:tc>
          <w:tcPr>
            <w:tcW w:type="dxa" w:w="3120"/>
          </w:tcPr>
          <w:p>
            <w:r>
              <w:t>0.45</w:t>
            </w:r>
          </w:p>
        </w:tc>
        <w:tc>
          <w:tcPr>
            <w:tcW w:type="dxa" w:w="3120"/>
          </w:tcPr>
          <w:p>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Country</w:t>
            </w:r>
          </w:p>
        </w:tc>
        <w:tc>
          <w:tcPr>
            <w:tcW w:type="dxa" w:w="2340"/>
          </w:tcPr>
          <w:p>
            <w:r>
              <w:rPr>
                <w:b/>
              </w:rPr>
              <w:t>mean_EDS</w:t>
            </w:r>
          </w:p>
        </w:tc>
        <w:tc>
          <w:tcPr>
            <w:tcW w:type="dxa" w:w="2340"/>
          </w:tcPr>
          <w:p>
            <w:r>
              <w:rPr>
                <w:b/>
              </w:rPr>
              <w:t>mean_AER</w:t>
            </w:r>
          </w:p>
        </w:tc>
        <w:tc>
          <w:tcPr>
            <w:tcW w:type="dxa" w:w="2340"/>
          </w:tcPr>
          <w:p>
            <w:r>
              <w:rPr>
                <w:b/>
              </w:rPr>
              <w:t>n</w:t>
            </w:r>
          </w:p>
        </w:tc>
      </w:tr>
      <w:tr>
        <w:tc>
          <w:tcPr>
            <w:tcW w:type="dxa" w:w="2340"/>
          </w:tcPr>
          <w:p>
            <w:r>
              <w:t>Austria</w:t>
            </w:r>
          </w:p>
        </w:tc>
        <w:tc>
          <w:tcPr>
            <w:tcW w:type="dxa" w:w="2340"/>
          </w:tcPr>
          <w:p>
            <w:r>
              <w:t>28.910985414961</w:t>
            </w:r>
          </w:p>
        </w:tc>
        <w:tc>
          <w:tcPr>
            <w:tcW w:type="dxa" w:w="2340"/>
          </w:tcPr>
          <w:p>
            <w:r>
              <w:t>61.1934280144806</w:t>
            </w:r>
          </w:p>
        </w:tc>
        <w:tc>
          <w:tcPr>
            <w:tcW w:type="dxa" w:w="2340"/>
          </w:tcPr>
          <w:p>
            <w:r>
              <w:t>17955</w:t>
            </w:r>
          </w:p>
        </w:tc>
      </w:tr>
      <w:tr>
        <w:tc>
          <w:tcPr>
            <w:tcW w:type="dxa" w:w="2340"/>
          </w:tcPr>
          <w:p>
            <w:r>
              <w:t>Belgium</w:t>
            </w:r>
          </w:p>
        </w:tc>
        <w:tc>
          <w:tcPr>
            <w:tcW w:type="dxa" w:w="2340"/>
          </w:tcPr>
          <w:p>
            <w:r>
              <w:t>29.057534844457</w:t>
            </w:r>
          </w:p>
        </w:tc>
        <w:tc>
          <w:tcPr>
            <w:tcW w:type="dxa" w:w="2340"/>
          </w:tcPr>
          <w:p>
            <w:r>
              <w:t>66.8597258243797</w:t>
            </w:r>
          </w:p>
        </w:tc>
        <w:tc>
          <w:tcPr>
            <w:tcW w:type="dxa" w:w="2340"/>
          </w:tcPr>
          <w:p>
            <w:r>
              <w:t>67475</w:t>
            </w:r>
          </w:p>
        </w:tc>
      </w:tr>
      <w:tr>
        <w:tc>
          <w:tcPr>
            <w:tcW w:type="dxa" w:w="2340"/>
          </w:tcPr>
          <w:p>
            <w:r>
              <w:t>Bulgaria</w:t>
            </w:r>
          </w:p>
        </w:tc>
        <w:tc>
          <w:tcPr>
            <w:tcW w:type="dxa" w:w="2340"/>
          </w:tcPr>
          <w:p>
            <w:r>
              <w:t>30.156403873329</w:t>
            </w:r>
          </w:p>
        </w:tc>
        <w:tc>
          <w:tcPr>
            <w:tcW w:type="dxa" w:w="2340"/>
          </w:tcPr>
          <w:p>
            <w:r>
              <w:t>66.02658788774</w:t>
            </w:r>
          </w:p>
        </w:tc>
        <w:tc>
          <w:tcPr>
            <w:tcW w:type="dxa" w:w="2340"/>
          </w:tcPr>
          <w:p>
            <w:r>
              <w:t>677</w:t>
            </w:r>
          </w:p>
        </w:tc>
      </w:tr>
      <w:tr>
        <w:tc>
          <w:tcPr>
            <w:tcW w:type="dxa" w:w="2340"/>
          </w:tcPr>
          <w:p>
            <w:r>
              <w:t>Croatia</w:t>
            </w:r>
          </w:p>
        </w:tc>
        <w:tc>
          <w:tcPr>
            <w:tcW w:type="dxa" w:w="2340"/>
          </w:tcPr>
          <w:p>
            <w:r>
              <w:t>29.0224458696311</w:t>
            </w:r>
          </w:p>
        </w:tc>
        <w:tc>
          <w:tcPr>
            <w:tcW w:type="dxa" w:w="2340"/>
          </w:tcPr>
          <w:p>
            <w:r>
              <w:t>69.4880694143167</w:t>
            </w:r>
          </w:p>
        </w:tc>
        <w:tc>
          <w:tcPr>
            <w:tcW w:type="dxa" w:w="2340"/>
          </w:tcPr>
          <w:p>
            <w:r>
              <w:t>922</w:t>
            </w:r>
          </w:p>
        </w:tc>
      </w:tr>
      <w:tr>
        <w:tc>
          <w:tcPr>
            <w:tcW w:type="dxa" w:w="2340"/>
          </w:tcPr>
          <w:p>
            <w:r>
              <w:t>Cyprus</w:t>
            </w:r>
          </w:p>
        </w:tc>
        <w:tc>
          <w:tcPr>
            <w:tcW w:type="dxa" w:w="2340"/>
          </w:tcPr>
          <w:p>
            <w:r>
              <w:t>44.3822762717436</w:t>
            </w:r>
          </w:p>
        </w:tc>
        <w:tc>
          <w:tcPr>
            <w:tcW w:type="dxa" w:w="2340"/>
          </w:tcPr>
          <w:p>
            <w:r>
              <w:t>63.1538461538462</w:t>
            </w:r>
          </w:p>
        </w:tc>
        <w:tc>
          <w:tcPr>
            <w:tcW w:type="dxa" w:w="2340"/>
          </w:tcPr>
          <w:p>
            <w:r>
              <w:t>130</w:t>
            </w:r>
          </w:p>
        </w:tc>
      </w:tr>
      <w:tr>
        <w:tc>
          <w:tcPr>
            <w:tcW w:type="dxa" w:w="2340"/>
          </w:tcPr>
          <w:p>
            <w:r>
              <w:t>Czech Republic</w:t>
            </w:r>
          </w:p>
        </w:tc>
        <w:tc>
          <w:tcPr>
            <w:tcW w:type="dxa" w:w="2340"/>
          </w:tcPr>
          <w:p>
            <w:r>
              <w:t>30.0813721430123</w:t>
            </w:r>
          </w:p>
        </w:tc>
        <w:tc>
          <w:tcPr>
            <w:tcW w:type="dxa" w:w="2340"/>
          </w:tcPr>
          <w:p>
            <w:r>
              <w:t>66.6376146788991</w:t>
            </w:r>
          </w:p>
        </w:tc>
        <w:tc>
          <w:tcPr>
            <w:tcW w:type="dxa" w:w="2340"/>
          </w:tcPr>
          <w:p>
            <w:r>
              <w:t>4360</w:t>
            </w:r>
          </w:p>
        </w:tc>
      </w:tr>
      <w:tr>
        <w:tc>
          <w:tcPr>
            <w:tcW w:type="dxa" w:w="2340"/>
          </w:tcPr>
          <w:p>
            <w:r>
              <w:t>Denmark</w:t>
            </w:r>
          </w:p>
        </w:tc>
        <w:tc>
          <w:tcPr>
            <w:tcW w:type="dxa" w:w="2340"/>
          </w:tcPr>
          <w:p>
            <w:r>
              <w:t>30.5214139102523</w:t>
            </w:r>
          </w:p>
        </w:tc>
        <w:tc>
          <w:tcPr>
            <w:tcW w:type="dxa" w:w="2340"/>
          </w:tcPr>
          <w:p>
            <w:r>
              <w:t>60.4620359320066</w:t>
            </w:r>
          </w:p>
        </w:tc>
        <w:tc>
          <w:tcPr>
            <w:tcW w:type="dxa" w:w="2340"/>
          </w:tcPr>
          <w:p>
            <w:r>
              <w:t>31003</w:t>
            </w:r>
          </w:p>
        </w:tc>
      </w:tr>
      <w:tr>
        <w:tc>
          <w:tcPr>
            <w:tcW w:type="dxa" w:w="2340"/>
          </w:tcPr>
          <w:p>
            <w:r>
              <w:t>Estonia</w:t>
            </w:r>
          </w:p>
        </w:tc>
        <w:tc>
          <w:tcPr>
            <w:tcW w:type="dxa" w:w="2340"/>
          </w:tcPr>
          <w:p>
            <w:r>
              <w:t>36.3661675835379</w:t>
            </w:r>
          </w:p>
        </w:tc>
        <w:tc>
          <w:tcPr>
            <w:tcW w:type="dxa" w:w="2340"/>
          </w:tcPr>
          <w:p>
            <w:r>
              <w:t>64.7628571428571</w:t>
            </w:r>
          </w:p>
        </w:tc>
        <w:tc>
          <w:tcPr>
            <w:tcW w:type="dxa" w:w="2340"/>
          </w:tcPr>
          <w:p>
            <w:r>
              <w:t>350</w:t>
            </w:r>
          </w:p>
        </w:tc>
      </w:tr>
      <w:tr>
        <w:tc>
          <w:tcPr>
            <w:tcW w:type="dxa" w:w="2340"/>
          </w:tcPr>
          <w:p>
            <w:r>
              <w:t>Finland</w:t>
            </w:r>
          </w:p>
        </w:tc>
        <w:tc>
          <w:tcPr>
            <w:tcW w:type="dxa" w:w="2340"/>
          </w:tcPr>
          <w:p>
            <w:r>
              <w:t>39.3835911884084</w:t>
            </w:r>
          </w:p>
        </w:tc>
        <w:tc>
          <w:tcPr>
            <w:tcW w:type="dxa" w:w="2340"/>
          </w:tcPr>
          <w:p>
            <w:r>
              <w:t>60.9988059701492</w:t>
            </w:r>
          </w:p>
        </w:tc>
        <w:tc>
          <w:tcPr>
            <w:tcW w:type="dxa" w:w="2340"/>
          </w:tcPr>
          <w:p>
            <w:r>
              <w:t>23450</w:t>
            </w:r>
          </w:p>
        </w:tc>
      </w:tr>
      <w:tr>
        <w:tc>
          <w:tcPr>
            <w:tcW w:type="dxa" w:w="2340"/>
          </w:tcPr>
          <w:p>
            <w:r>
              <w:t>France</w:t>
            </w:r>
          </w:p>
        </w:tc>
        <w:tc>
          <w:tcPr>
            <w:tcW w:type="dxa" w:w="2340"/>
          </w:tcPr>
          <w:p>
            <w:r>
              <w:t>27.4797245267245</w:t>
            </w:r>
          </w:p>
        </w:tc>
        <w:tc>
          <w:tcPr>
            <w:tcW w:type="dxa" w:w="2340"/>
          </w:tcPr>
          <w:p>
            <w:r>
              <w:t>60.5202778905576</w:t>
            </w:r>
          </w:p>
        </w:tc>
        <w:tc>
          <w:tcPr>
            <w:tcW w:type="dxa" w:w="2340"/>
          </w:tcPr>
          <w:p>
            <w:r>
              <w:t>133002</w:t>
            </w:r>
          </w:p>
        </w:tc>
      </w:tr>
      <w:tr>
        <w:tc>
          <w:tcPr>
            <w:tcW w:type="dxa" w:w="2340"/>
          </w:tcPr>
          <w:p>
            <w:r>
              <w:t>Germany</w:t>
            </w:r>
          </w:p>
        </w:tc>
        <w:tc>
          <w:tcPr>
            <w:tcW w:type="dxa" w:w="2340"/>
          </w:tcPr>
          <w:p>
            <w:r>
              <w:t>28.168335341673</w:t>
            </w:r>
          </w:p>
        </w:tc>
        <w:tc>
          <w:tcPr>
            <w:tcW w:type="dxa" w:w="2340"/>
          </w:tcPr>
          <w:p>
            <w:r>
              <w:t>65.1979179203268</w:t>
            </w:r>
          </w:p>
        </w:tc>
        <w:tc>
          <w:tcPr>
            <w:tcW w:type="dxa" w:w="2340"/>
          </w:tcPr>
          <w:p>
            <w:r>
              <w:t>315742</w:t>
            </w:r>
          </w:p>
        </w:tc>
      </w:tr>
      <w:tr>
        <w:tc>
          <w:tcPr>
            <w:tcW w:type="dxa" w:w="2340"/>
          </w:tcPr>
          <w:p>
            <w:r>
              <w:t>Greece</w:t>
            </w:r>
          </w:p>
        </w:tc>
        <w:tc>
          <w:tcPr>
            <w:tcW w:type="dxa" w:w="2340"/>
          </w:tcPr>
          <w:p>
            <w:r>
              <w:t>28.1014721136588</w:t>
            </w:r>
          </w:p>
        </w:tc>
        <w:tc>
          <w:tcPr>
            <w:tcW w:type="dxa" w:w="2340"/>
          </w:tcPr>
          <w:p>
            <w:r>
              <w:t>59.10985819238</w:t>
            </w:r>
          </w:p>
        </w:tc>
        <w:tc>
          <w:tcPr>
            <w:tcW w:type="dxa" w:w="2340"/>
          </w:tcPr>
          <w:p>
            <w:r>
              <w:t>5853</w:t>
            </w:r>
          </w:p>
        </w:tc>
      </w:tr>
      <w:tr>
        <w:tc>
          <w:tcPr>
            <w:tcW w:type="dxa" w:w="2340"/>
          </w:tcPr>
          <w:p>
            <w:r>
              <w:t>Hungary</w:t>
            </w:r>
          </w:p>
        </w:tc>
        <w:tc>
          <w:tcPr>
            <w:tcW w:type="dxa" w:w="2340"/>
          </w:tcPr>
          <w:p>
            <w:r>
              <w:t>31.3085795362343</w:t>
            </w:r>
          </w:p>
        </w:tc>
        <w:tc>
          <w:tcPr>
            <w:tcW w:type="dxa" w:w="2340"/>
          </w:tcPr>
          <w:p>
            <w:r>
              <w:t>64.2392712550607</w:t>
            </w:r>
          </w:p>
        </w:tc>
        <w:tc>
          <w:tcPr>
            <w:tcW w:type="dxa" w:w="2340"/>
          </w:tcPr>
          <w:p>
            <w:r>
              <w:t>4940</w:t>
            </w:r>
          </w:p>
        </w:tc>
      </w:tr>
      <w:tr>
        <w:tc>
          <w:tcPr>
            <w:tcW w:type="dxa" w:w="2340"/>
          </w:tcPr>
          <w:p>
            <w:r>
              <w:t>Iceland</w:t>
            </w:r>
          </w:p>
        </w:tc>
        <w:tc>
          <w:tcPr>
            <w:tcW w:type="dxa" w:w="2340"/>
          </w:tcPr>
          <w:p>
            <w:r>
              <w:t>31.6450244526297</w:t>
            </w:r>
          </w:p>
        </w:tc>
        <w:tc>
          <w:tcPr>
            <w:tcW w:type="dxa" w:w="2340"/>
          </w:tcPr>
          <w:p>
            <w:r>
              <w:t>62.8818897637795</w:t>
            </w:r>
          </w:p>
        </w:tc>
        <w:tc>
          <w:tcPr>
            <w:tcW w:type="dxa" w:w="2340"/>
          </w:tcPr>
          <w:p>
            <w:r>
              <w:t>1524</w:t>
            </w:r>
          </w:p>
        </w:tc>
      </w:tr>
      <w:tr>
        <w:tc>
          <w:tcPr>
            <w:tcW w:type="dxa" w:w="2340"/>
          </w:tcPr>
          <w:p>
            <w:r>
              <w:t>Ireland</w:t>
            </w:r>
          </w:p>
        </w:tc>
        <w:tc>
          <w:tcPr>
            <w:tcW w:type="dxa" w:w="2340"/>
          </w:tcPr>
          <w:p>
            <w:r>
              <w:t>37.343420392481</w:t>
            </w:r>
          </w:p>
        </w:tc>
        <w:tc>
          <w:tcPr>
            <w:tcW w:type="dxa" w:w="2340"/>
          </w:tcPr>
          <w:p>
            <w:r>
              <w:t>65.929521434509</w:t>
            </w:r>
          </w:p>
        </w:tc>
        <w:tc>
          <w:tcPr>
            <w:tcW w:type="dxa" w:w="2340"/>
          </w:tcPr>
          <w:p>
            <w:r>
              <w:t>8421</w:t>
            </w:r>
          </w:p>
        </w:tc>
      </w:tr>
      <w:tr>
        <w:tc>
          <w:tcPr>
            <w:tcW w:type="dxa" w:w="2340"/>
          </w:tcPr>
          <w:p>
            <w:r>
              <w:t>Italy</w:t>
            </w:r>
          </w:p>
        </w:tc>
        <w:tc>
          <w:tcPr>
            <w:tcW w:type="dxa" w:w="2340"/>
          </w:tcPr>
          <w:p>
            <w:r>
              <w:t>26.8187855582585</w:t>
            </w:r>
          </w:p>
        </w:tc>
        <w:tc>
          <w:tcPr>
            <w:tcW w:type="dxa" w:w="2340"/>
          </w:tcPr>
          <w:p>
            <w:r>
              <w:t>57.9846313493209</w:t>
            </w:r>
          </w:p>
        </w:tc>
        <w:tc>
          <w:tcPr>
            <w:tcW w:type="dxa" w:w="2340"/>
          </w:tcPr>
          <w:p>
            <w:r>
              <w:t>66011</w:t>
            </w:r>
          </w:p>
        </w:tc>
      </w:tr>
      <w:tr>
        <w:tc>
          <w:tcPr>
            <w:tcW w:type="dxa" w:w="2340"/>
          </w:tcPr>
          <w:p>
            <w:r>
              <w:t>Latvia</w:t>
            </w:r>
          </w:p>
        </w:tc>
        <w:tc>
          <w:tcPr>
            <w:tcW w:type="dxa" w:w="2340"/>
          </w:tcPr>
          <w:p>
            <w:r>
              <w:t>28.8518047013793</w:t>
            </w:r>
          </w:p>
        </w:tc>
        <w:tc>
          <w:tcPr>
            <w:tcW w:type="dxa" w:w="2340"/>
          </w:tcPr>
          <w:p>
            <w:r>
              <w:t>65.159793814433</w:t>
            </w:r>
          </w:p>
        </w:tc>
        <w:tc>
          <w:tcPr>
            <w:tcW w:type="dxa" w:w="2340"/>
          </w:tcPr>
          <w:p>
            <w:r>
              <w:t>194</w:t>
            </w:r>
          </w:p>
        </w:tc>
      </w:tr>
      <w:tr>
        <w:tc>
          <w:tcPr>
            <w:tcW w:type="dxa" w:w="2340"/>
          </w:tcPr>
          <w:p>
            <w:r>
              <w:t>Lithuania</w:t>
            </w:r>
          </w:p>
        </w:tc>
        <w:tc>
          <w:tcPr>
            <w:tcW w:type="dxa" w:w="2340"/>
          </w:tcPr>
          <w:p>
            <w:r>
              <w:t>30.3706766154362</w:t>
            </w:r>
          </w:p>
        </w:tc>
        <w:tc>
          <w:tcPr>
            <w:tcW w:type="dxa" w:w="2340"/>
          </w:tcPr>
          <w:p>
            <w:r>
              <w:t>64.6515426497278</w:t>
            </w:r>
          </w:p>
        </w:tc>
        <w:tc>
          <w:tcPr>
            <w:tcW w:type="dxa" w:w="2340"/>
          </w:tcPr>
          <w:p>
            <w:r>
              <w:t>551</w:t>
            </w:r>
          </w:p>
        </w:tc>
      </w:tr>
      <w:tr>
        <w:tc>
          <w:tcPr>
            <w:tcW w:type="dxa" w:w="2340"/>
          </w:tcPr>
          <w:p>
            <w:r>
              <w:t>Luxembourg</w:t>
            </w:r>
          </w:p>
        </w:tc>
        <w:tc>
          <w:tcPr>
            <w:tcW w:type="dxa" w:w="2340"/>
          </w:tcPr>
          <w:p>
            <w:r>
              <w:t>29.7388849690778</w:t>
            </w:r>
          </w:p>
        </w:tc>
        <w:tc>
          <w:tcPr>
            <w:tcW w:type="dxa" w:w="2340"/>
          </w:tcPr>
          <w:p>
            <w:r>
              <w:t>65.2089093701997</w:t>
            </w:r>
          </w:p>
        </w:tc>
        <w:tc>
          <w:tcPr>
            <w:tcW w:type="dxa" w:w="2340"/>
          </w:tcPr>
          <w:p>
            <w:r>
              <w:t>4557</w:t>
            </w:r>
          </w:p>
        </w:tc>
      </w:tr>
      <w:tr>
        <w:tc>
          <w:tcPr>
            <w:tcW w:type="dxa" w:w="2340"/>
          </w:tcPr>
          <w:p>
            <w:r>
              <w:t>Malta</w:t>
            </w:r>
          </w:p>
        </w:tc>
        <w:tc>
          <w:tcPr>
            <w:tcW w:type="dxa" w:w="2340"/>
          </w:tcPr>
          <w:p>
            <w:r>
              <w:t>47.1675963196652</w:t>
            </w:r>
          </w:p>
        </w:tc>
        <w:tc>
          <w:tcPr>
            <w:tcW w:type="dxa" w:w="2340"/>
          </w:tcPr>
          <w:p>
            <w:r>
              <w:t>61.1648648648649</w:t>
            </w:r>
          </w:p>
        </w:tc>
        <w:tc>
          <w:tcPr>
            <w:tcW w:type="dxa" w:w="2340"/>
          </w:tcPr>
          <w:p>
            <w:r>
              <w:t>740</w:t>
            </w:r>
          </w:p>
        </w:tc>
      </w:tr>
      <w:tr>
        <w:tc>
          <w:tcPr>
            <w:tcW w:type="dxa" w:w="2340"/>
          </w:tcPr>
          <w:p>
            <w:r>
              <w:t>Netherlands</w:t>
            </w:r>
          </w:p>
        </w:tc>
        <w:tc>
          <w:tcPr>
            <w:tcW w:type="dxa" w:w="2340"/>
          </w:tcPr>
          <w:p>
            <w:r>
              <w:t>29.809121118254</w:t>
            </w:r>
          </w:p>
        </w:tc>
        <w:tc>
          <w:tcPr>
            <w:tcW w:type="dxa" w:w="2340"/>
          </w:tcPr>
          <w:p>
            <w:r>
              <w:t>61.6413989754977</w:t>
            </w:r>
          </w:p>
        </w:tc>
        <w:tc>
          <w:tcPr>
            <w:tcW w:type="dxa" w:w="2340"/>
          </w:tcPr>
          <w:p>
            <w:r>
              <w:t>39629</w:t>
            </w:r>
          </w:p>
        </w:tc>
      </w:tr>
      <w:tr>
        <w:tc>
          <w:tcPr>
            <w:tcW w:type="dxa" w:w="2340"/>
          </w:tcPr>
          <w:p>
            <w:r>
              <w:t>Norway</w:t>
            </w:r>
          </w:p>
        </w:tc>
        <w:tc>
          <w:tcPr>
            <w:tcW w:type="dxa" w:w="2340"/>
          </w:tcPr>
          <w:p>
            <w:r>
              <w:t>33.8501166598978</w:t>
            </w:r>
          </w:p>
        </w:tc>
        <w:tc>
          <w:tcPr>
            <w:tcW w:type="dxa" w:w="2340"/>
          </w:tcPr>
          <w:p>
            <w:r>
              <w:t>65.5144287214979</w:t>
            </w:r>
          </w:p>
        </w:tc>
        <w:tc>
          <w:tcPr>
            <w:tcW w:type="dxa" w:w="2340"/>
          </w:tcPr>
          <w:p>
            <w:r>
              <w:t>16183</w:t>
            </w:r>
          </w:p>
        </w:tc>
      </w:tr>
      <w:tr>
        <w:tc>
          <w:tcPr>
            <w:tcW w:type="dxa" w:w="2340"/>
          </w:tcPr>
          <w:p>
            <w:r>
              <w:t>Poland</w:t>
            </w:r>
          </w:p>
        </w:tc>
        <w:tc>
          <w:tcPr>
            <w:tcW w:type="dxa" w:w="2340"/>
          </w:tcPr>
          <w:p>
            <w:r>
              <w:t>30.5908937312741</w:t>
            </w:r>
          </w:p>
        </w:tc>
        <w:tc>
          <w:tcPr>
            <w:tcW w:type="dxa" w:w="2340"/>
          </w:tcPr>
          <w:p>
            <w:r>
              <w:t>64.5002401767701</w:t>
            </w:r>
          </w:p>
        </w:tc>
        <w:tc>
          <w:tcPr>
            <w:tcW w:type="dxa" w:w="2340"/>
          </w:tcPr>
          <w:p>
            <w:r>
              <w:t>10409</w:t>
            </w:r>
          </w:p>
        </w:tc>
      </w:tr>
      <w:tr>
        <w:tc>
          <w:tcPr>
            <w:tcW w:type="dxa" w:w="2340"/>
          </w:tcPr>
          <w:p>
            <w:r>
              <w:t>Portugal</w:t>
            </w:r>
          </w:p>
        </w:tc>
        <w:tc>
          <w:tcPr>
            <w:tcW w:type="dxa" w:w="2340"/>
          </w:tcPr>
          <w:p>
            <w:r>
              <w:t>32.2922146619549</w:t>
            </w:r>
          </w:p>
        </w:tc>
        <w:tc>
          <w:tcPr>
            <w:tcW w:type="dxa" w:w="2340"/>
          </w:tcPr>
          <w:p>
            <w:r>
              <w:t>64.9896807325227</w:t>
            </w:r>
          </w:p>
        </w:tc>
        <w:tc>
          <w:tcPr>
            <w:tcW w:type="dxa" w:w="2340"/>
          </w:tcPr>
          <w:p>
            <w:r>
              <w:t>20641</w:t>
            </w:r>
          </w:p>
        </w:tc>
      </w:tr>
      <w:tr>
        <w:tc>
          <w:tcPr>
            <w:tcW w:type="dxa" w:w="2340"/>
          </w:tcPr>
          <w:p>
            <w:r>
              <w:t>Romania</w:t>
            </w:r>
          </w:p>
        </w:tc>
        <w:tc>
          <w:tcPr>
            <w:tcW w:type="dxa" w:w="2340"/>
          </w:tcPr>
          <w:p>
            <w:r>
              <w:t>27.5131956182792</w:t>
            </w:r>
          </w:p>
        </w:tc>
        <w:tc>
          <w:tcPr>
            <w:tcW w:type="dxa" w:w="2340"/>
          </w:tcPr>
          <w:p>
            <w:r>
              <w:t>64.6573532188031</w:t>
            </w:r>
          </w:p>
        </w:tc>
        <w:tc>
          <w:tcPr>
            <w:tcW w:type="dxa" w:w="2340"/>
          </w:tcPr>
          <w:p>
            <w:r>
              <w:t>5297</w:t>
            </w:r>
          </w:p>
        </w:tc>
      </w:tr>
      <w:tr>
        <w:tc>
          <w:tcPr>
            <w:tcW w:type="dxa" w:w="2340"/>
          </w:tcPr>
          <w:p>
            <w:r>
              <w:t>Slovakia</w:t>
            </w:r>
          </w:p>
        </w:tc>
        <w:tc>
          <w:tcPr>
            <w:tcW w:type="dxa" w:w="2340"/>
          </w:tcPr>
          <w:p>
            <w:r>
              <w:t>33.0803072902069</w:t>
            </w:r>
          </w:p>
        </w:tc>
        <w:tc>
          <w:tcPr>
            <w:tcW w:type="dxa" w:w="2340"/>
          </w:tcPr>
          <w:p>
            <w:r>
              <w:t>68.5474048442907</w:t>
            </w:r>
          </w:p>
        </w:tc>
        <w:tc>
          <w:tcPr>
            <w:tcW w:type="dxa" w:w="2340"/>
          </w:tcPr>
          <w:p>
            <w:r>
              <w:t>1445</w:t>
            </w:r>
          </w:p>
        </w:tc>
      </w:tr>
      <w:tr>
        <w:tc>
          <w:tcPr>
            <w:tcW w:type="dxa" w:w="2340"/>
          </w:tcPr>
          <w:p>
            <w:r>
              <w:t>Slovenia</w:t>
            </w:r>
          </w:p>
        </w:tc>
        <w:tc>
          <w:tcPr>
            <w:tcW w:type="dxa" w:w="2340"/>
          </w:tcPr>
          <w:p>
            <w:r>
              <w:t>32.3159602799563</w:t>
            </w:r>
          </w:p>
        </w:tc>
        <w:tc>
          <w:tcPr>
            <w:tcW w:type="dxa" w:w="2340"/>
          </w:tcPr>
          <w:p>
            <w:r>
              <w:t>60.723292469352</w:t>
            </w:r>
          </w:p>
        </w:tc>
        <w:tc>
          <w:tcPr>
            <w:tcW w:type="dxa" w:w="2340"/>
          </w:tcPr>
          <w:p>
            <w:r>
              <w:t>571</w:t>
            </w:r>
          </w:p>
        </w:tc>
      </w:tr>
      <w:tr>
        <w:tc>
          <w:tcPr>
            <w:tcW w:type="dxa" w:w="2340"/>
          </w:tcPr>
          <w:p>
            <w:r>
              <w:t>Spain</w:t>
            </w:r>
          </w:p>
        </w:tc>
        <w:tc>
          <w:tcPr>
            <w:tcW w:type="dxa" w:w="2340"/>
          </w:tcPr>
          <w:p>
            <w:r>
              <w:t>30.5644360912321</w:t>
            </w:r>
          </w:p>
        </w:tc>
        <w:tc>
          <w:tcPr>
            <w:tcW w:type="dxa" w:w="2340"/>
          </w:tcPr>
          <w:p>
            <w:r>
              <w:t>61.119886565048</w:t>
            </w:r>
          </w:p>
        </w:tc>
        <w:tc>
          <w:tcPr>
            <w:tcW w:type="dxa" w:w="2340"/>
          </w:tcPr>
          <w:p>
            <w:r>
              <w:t>42315</w:t>
            </w:r>
          </w:p>
        </w:tc>
      </w:tr>
      <w:tr>
        <w:tc>
          <w:tcPr>
            <w:tcW w:type="dxa" w:w="2340"/>
          </w:tcPr>
          <w:p>
            <w:r>
              <w:t>Sweden</w:t>
            </w:r>
          </w:p>
        </w:tc>
        <w:tc>
          <w:tcPr>
            <w:tcW w:type="dxa" w:w="2340"/>
          </w:tcPr>
          <w:p>
            <w:r>
              <w:t>32.6831504331095</w:t>
            </w:r>
          </w:p>
        </w:tc>
        <w:tc>
          <w:tcPr>
            <w:tcW w:type="dxa" w:w="2340"/>
          </w:tcPr>
          <w:p>
            <w:r>
              <w:t>63.8633069915198</w:t>
            </w:r>
          </w:p>
        </w:tc>
        <w:tc>
          <w:tcPr>
            <w:tcW w:type="dxa" w:w="2340"/>
          </w:tcPr>
          <w:p>
            <w:r>
              <w:t>76178</w:t>
            </w:r>
          </w:p>
        </w:tc>
      </w:tr>
    </w:tbl>
    <w:tbl>
      <w:tblPr>
        <w:tblW w:type="auto" w:w="0"/>
        <w:tblLook w:firstColumn="1" w:firstRow="1" w:lastColumn="0" w:lastRow="0" w:noHBand="0" w:noVBand="1" w:val="04A0"/>
      </w:tblPr>
      <w:tblGrid>
        <w:gridCol w:w="3120"/>
        <w:gridCol w:w="3120"/>
        <w:gridCol w:w="3120"/>
      </w:tblGrid>
      <w:tr>
        <w:tc>
          <w:tcPr>
            <w:tcW w:type="dxa" w:w="3120"/>
          </w:tcPr>
          <w:p>
            <w:r>
              <w:rPr>
                <w:b/>
              </w:rPr>
              <w:t>division</w:t>
            </w:r>
          </w:p>
        </w:tc>
        <w:tc>
          <w:tcPr>
            <w:tcW w:type="dxa" w:w="3120"/>
          </w:tcPr>
          <w:p>
            <w:r>
              <w:rPr>
                <w:b/>
              </w:rPr>
              <w:t>EDS_median</w:t>
            </w:r>
          </w:p>
        </w:tc>
        <w:tc>
          <w:tcPr>
            <w:tcW w:type="dxa" w:w="3120"/>
          </w:tcPr>
          <w:p>
            <w:r>
              <w:rPr>
                <w:b/>
              </w:rPr>
              <w:t>n</w:t>
            </w:r>
          </w:p>
        </w:tc>
      </w:tr>
      <w:tr>
        <w:tc>
          <w:tcPr>
            <w:tcW w:type="dxa" w:w="3120"/>
          </w:tcPr>
          <w:p>
            <w:r>
              <w:t>North</w:t>
            </w:r>
          </w:p>
        </w:tc>
        <w:tc>
          <w:tcPr>
            <w:tcW w:type="dxa" w:w="3120"/>
          </w:tcPr>
          <w:p>
            <w:r>
              <w:t>31.4546129275843</w:t>
            </w:r>
          </w:p>
        </w:tc>
        <w:tc>
          <w:tcPr>
            <w:tcW w:type="dxa" w:w="3120"/>
          </w:tcPr>
          <w:p>
            <w:r>
              <w:t>195087</w:t>
            </w:r>
          </w:p>
        </w:tc>
      </w:tr>
      <w:tr>
        <w:tc>
          <w:tcPr>
            <w:tcW w:type="dxa" w:w="3120"/>
          </w:tcPr>
          <w:p>
            <w:r>
              <w:t>South</w:t>
            </w:r>
          </w:p>
        </w:tc>
        <w:tc>
          <w:tcPr>
            <w:tcW w:type="dxa" w:w="3120"/>
          </w:tcPr>
          <w:p>
            <w:r>
              <w:t>25.8243690012869</w:t>
            </w:r>
          </w:p>
        </w:tc>
        <w:tc>
          <w:tcPr>
            <w:tcW w:type="dxa" w:w="3120"/>
          </w:tcPr>
          <w:p>
            <w:r>
              <w:t>705438</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OEM_Model</w:t>
            </w:r>
          </w:p>
        </w:tc>
        <w:tc>
          <w:tcPr>
            <w:tcW w:type="dxa" w:w="2340"/>
          </w:tcPr>
          <w:p>
            <w:r>
              <w:rPr>
                <w:b/>
              </w:rPr>
              <w:t>n</w:t>
            </w:r>
          </w:p>
        </w:tc>
        <w:tc>
          <w:tcPr>
            <w:tcW w:type="dxa" w:w="2340"/>
          </w:tcPr>
          <w:p>
            <w:r>
              <w:rPr>
                <w:b/>
              </w:rPr>
              <w:t>EDS_median</w:t>
            </w:r>
          </w:p>
        </w:tc>
        <w:tc>
          <w:tcPr>
            <w:tcW w:type="dxa" w:w="2340"/>
          </w:tcPr>
          <w:p>
            <w:r>
              <w:rPr>
                <w:b/>
              </w:rPr>
              <w:t>EDS_sd</w:t>
            </w:r>
          </w:p>
        </w:tc>
      </w:tr>
      <w:tr>
        <w:tc>
          <w:tcPr>
            <w:tcW w:type="dxa" w:w="2340"/>
          </w:tcPr>
          <w:p>
            <w:r>
              <w:t>FORD KUGA</w:t>
            </w:r>
          </w:p>
        </w:tc>
        <w:tc>
          <w:tcPr>
            <w:tcW w:type="dxa" w:w="2340"/>
          </w:tcPr>
          <w:p>
            <w:r>
              <w:t>67832</w:t>
            </w:r>
          </w:p>
        </w:tc>
        <w:tc>
          <w:tcPr>
            <w:tcW w:type="dxa" w:w="2340"/>
          </w:tcPr>
          <w:p>
            <w:r>
              <w:t>37.339049320606</w:t>
            </w:r>
          </w:p>
        </w:tc>
        <w:tc>
          <w:tcPr>
            <w:tcW w:type="dxa" w:w="2340"/>
          </w:tcPr>
          <w:p>
            <w:r>
              <w:t>22.4580669066398</w:t>
            </w:r>
          </w:p>
        </w:tc>
      </w:tr>
      <w:tr>
        <w:tc>
          <w:tcPr>
            <w:tcW w:type="dxa" w:w="2340"/>
          </w:tcPr>
          <w:p>
            <w:r>
              <w:t>MERCEDES-BENZ GLC300</w:t>
            </w:r>
          </w:p>
        </w:tc>
        <w:tc>
          <w:tcPr>
            <w:tcW w:type="dxa" w:w="2340"/>
          </w:tcPr>
          <w:p>
            <w:r>
              <w:t>59364</w:t>
            </w:r>
          </w:p>
        </w:tc>
        <w:tc>
          <w:tcPr>
            <w:tcW w:type="dxa" w:w="2340"/>
          </w:tcPr>
          <w:p>
            <w:r>
              <w:t>19.5058818665128</w:t>
            </w:r>
          </w:p>
        </w:tc>
        <w:tc>
          <w:tcPr>
            <w:tcW w:type="dxa" w:w="2340"/>
          </w:tcPr>
          <w:p>
            <w:r>
              <w:t>19.960001462323</w:t>
            </w:r>
          </w:p>
        </w:tc>
      </w:tr>
      <w:tr>
        <w:tc>
          <w:tcPr>
            <w:tcW w:type="dxa" w:w="2340"/>
          </w:tcPr>
          <w:p>
            <w:r>
              <w:t>VOLVO XC40</w:t>
            </w:r>
          </w:p>
        </w:tc>
        <w:tc>
          <w:tcPr>
            <w:tcW w:type="dxa" w:w="2340"/>
          </w:tcPr>
          <w:p>
            <w:r>
              <w:t>53140</w:t>
            </w:r>
          </w:p>
        </w:tc>
        <w:tc>
          <w:tcPr>
            <w:tcW w:type="dxa" w:w="2340"/>
          </w:tcPr>
          <w:p>
            <w:r>
              <w:t>24.8030029704093</w:t>
            </w:r>
          </w:p>
        </w:tc>
        <w:tc>
          <w:tcPr>
            <w:tcW w:type="dxa" w:w="2340"/>
          </w:tcPr>
          <w:p>
            <w:r>
              <w:t>20.5422093661776</w:t>
            </w:r>
          </w:p>
        </w:tc>
      </w:tr>
      <w:tr>
        <w:tc>
          <w:tcPr>
            <w:tcW w:type="dxa" w:w="2340"/>
          </w:tcPr>
          <w:p>
            <w:r>
              <w:t>VOLVO XC60</w:t>
            </w:r>
          </w:p>
        </w:tc>
        <w:tc>
          <w:tcPr>
            <w:tcW w:type="dxa" w:w="2340"/>
          </w:tcPr>
          <w:p>
            <w:r>
              <w:t>50212</w:t>
            </w:r>
          </w:p>
        </w:tc>
        <w:tc>
          <w:tcPr>
            <w:tcW w:type="dxa" w:w="2340"/>
          </w:tcPr>
          <w:p>
            <w:r>
              <w:t>26.8712426594385</w:t>
            </w:r>
          </w:p>
        </w:tc>
        <w:tc>
          <w:tcPr>
            <w:tcW w:type="dxa" w:w="2340"/>
          </w:tcPr>
          <w:p>
            <w:r>
              <w:t>20.1368498829086</w:t>
            </w:r>
          </w:p>
        </w:tc>
      </w:tr>
      <w:tr>
        <w:tc>
          <w:tcPr>
            <w:tcW w:type="dxa" w:w="2340"/>
          </w:tcPr>
          <w:p>
            <w:r>
              <w:t>MERCEDES-BENZ GLE350</w:t>
            </w:r>
          </w:p>
        </w:tc>
        <w:tc>
          <w:tcPr>
            <w:tcW w:type="dxa" w:w="2340"/>
          </w:tcPr>
          <w:p>
            <w:r>
              <w:t>44076</w:t>
            </w:r>
          </w:p>
        </w:tc>
        <w:tc>
          <w:tcPr>
            <w:tcW w:type="dxa" w:w="2340"/>
          </w:tcPr>
          <w:p>
            <w:r>
              <w:t>29.6181406048698</w:t>
            </w:r>
          </w:p>
        </w:tc>
        <w:tc>
          <w:tcPr>
            <w:tcW w:type="dxa" w:w="2340"/>
          </w:tcPr>
          <w:p>
            <w:r>
              <w:t>20.6141071894543</w:t>
            </w:r>
          </w:p>
        </w:tc>
      </w:tr>
      <w:tr>
        <w:tc>
          <w:tcPr>
            <w:tcW w:type="dxa" w:w="2340"/>
          </w:tcPr>
          <w:p>
            <w:r>
              <w:t>RENAULT CAPTUR</w:t>
            </w:r>
          </w:p>
        </w:tc>
        <w:tc>
          <w:tcPr>
            <w:tcW w:type="dxa" w:w="2340"/>
          </w:tcPr>
          <w:p>
            <w:r>
              <w:t>35290</w:t>
            </w:r>
          </w:p>
        </w:tc>
        <w:tc>
          <w:tcPr>
            <w:tcW w:type="dxa" w:w="2340"/>
          </w:tcPr>
          <w:p>
            <w:r>
              <w:t>33.8945498947816</w:t>
            </w:r>
          </w:p>
        </w:tc>
        <w:tc>
          <w:tcPr>
            <w:tcW w:type="dxa" w:w="2340"/>
          </w:tcPr>
          <w:p>
            <w:r>
              <w:t>21.6120692796125</w:t>
            </w:r>
          </w:p>
        </w:tc>
      </w:tr>
      <w:tr>
        <w:tc>
          <w:tcPr>
            <w:tcW w:type="dxa" w:w="2340"/>
          </w:tcPr>
          <w:p>
            <w:r>
              <w:t>PEUGEOT 3008</w:t>
            </w:r>
          </w:p>
        </w:tc>
        <w:tc>
          <w:tcPr>
            <w:tcW w:type="dxa" w:w="2340"/>
          </w:tcPr>
          <w:p>
            <w:r>
              <w:t>29795</w:t>
            </w:r>
          </w:p>
        </w:tc>
        <w:tc>
          <w:tcPr>
            <w:tcW w:type="dxa" w:w="2340"/>
          </w:tcPr>
          <w:p>
            <w:r>
              <w:t>27.7654819738004</w:t>
            </w:r>
          </w:p>
        </w:tc>
        <w:tc>
          <w:tcPr>
            <w:tcW w:type="dxa" w:w="2340"/>
          </w:tcPr>
          <w:p>
            <w:r>
              <w:t>18.8394760714439</w:t>
            </w:r>
          </w:p>
        </w:tc>
      </w:tr>
      <w:tr>
        <w:tc>
          <w:tcPr>
            <w:tcW w:type="dxa" w:w="2340"/>
          </w:tcPr>
          <w:p>
            <w:r>
              <w:t>MERCEDES-BENZ A250</w:t>
            </w:r>
          </w:p>
        </w:tc>
        <w:tc>
          <w:tcPr>
            <w:tcW w:type="dxa" w:w="2340"/>
          </w:tcPr>
          <w:p>
            <w:r>
              <w:t>29386</w:t>
            </w:r>
          </w:p>
        </w:tc>
        <w:tc>
          <w:tcPr>
            <w:tcW w:type="dxa" w:w="2340"/>
          </w:tcPr>
          <w:p>
            <w:r>
              <w:t>34.9184743752576</w:t>
            </w:r>
          </w:p>
        </w:tc>
        <w:tc>
          <w:tcPr>
            <w:tcW w:type="dxa" w:w="2340"/>
          </w:tcPr>
          <w:p>
            <w:r>
              <w:t>24.7684010712651</w:t>
            </w:r>
          </w:p>
        </w:tc>
      </w:tr>
      <w:tr>
        <w:tc>
          <w:tcPr>
            <w:tcW w:type="dxa" w:w="2340"/>
          </w:tcPr>
          <w:p>
            <w:r>
              <w:t>BMW X5</w:t>
            </w:r>
          </w:p>
        </w:tc>
        <w:tc>
          <w:tcPr>
            <w:tcW w:type="dxa" w:w="2340"/>
          </w:tcPr>
          <w:p>
            <w:r>
              <w:t>23469</w:t>
            </w:r>
          </w:p>
        </w:tc>
        <w:tc>
          <w:tcPr>
            <w:tcW w:type="dxa" w:w="2340"/>
          </w:tcPr>
          <w:p>
            <w:r>
              <w:t>32.5746838521248</w:t>
            </w:r>
          </w:p>
        </w:tc>
        <w:tc>
          <w:tcPr>
            <w:tcW w:type="dxa" w:w="2340"/>
          </w:tcPr>
          <w:p>
            <w:r>
              <w:t>19.2960545685854</w:t>
            </w:r>
          </w:p>
        </w:tc>
      </w:tr>
      <w:tr>
        <w:tc>
          <w:tcPr>
            <w:tcW w:type="dxa" w:w="2340"/>
          </w:tcPr>
          <w:p>
            <w:r>
              <w:t>MERCEDES-BENZ GLA250</w:t>
            </w:r>
          </w:p>
        </w:tc>
        <w:tc>
          <w:tcPr>
            <w:tcW w:type="dxa" w:w="2340"/>
          </w:tcPr>
          <w:p>
            <w:r>
              <w:t>23254</w:t>
            </w:r>
          </w:p>
        </w:tc>
        <w:tc>
          <w:tcPr>
            <w:tcW w:type="dxa" w:w="2340"/>
          </w:tcPr>
          <w:p>
            <w:r>
              <w:t>39.2453228917004</w:t>
            </w:r>
          </w:p>
        </w:tc>
        <w:tc>
          <w:tcPr>
            <w:tcW w:type="dxa" w:w="2340"/>
          </w:tcPr>
          <w:p>
            <w:r>
              <w:t>23.5514672723183</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battery_category</w:t>
            </w:r>
          </w:p>
        </w:tc>
        <w:tc>
          <w:tcPr>
            <w:tcW w:type="dxa" w:w="2340"/>
          </w:tcPr>
          <w:p>
            <w:r>
              <w:rPr>
                <w:b/>
              </w:rPr>
              <w:t>n</w:t>
            </w:r>
          </w:p>
        </w:tc>
        <w:tc>
          <w:tcPr>
            <w:tcW w:type="dxa" w:w="2340"/>
          </w:tcPr>
          <w:p>
            <w:r>
              <w:rPr>
                <w:b/>
              </w:rPr>
              <w:t>mean_EDS</w:t>
            </w:r>
          </w:p>
        </w:tc>
        <w:tc>
          <w:tcPr>
            <w:tcW w:type="dxa" w:w="2340"/>
          </w:tcPr>
          <w:p>
            <w:r>
              <w:rPr>
                <w:b/>
              </w:rPr>
              <w:t>mean_Energy</w:t>
            </w:r>
          </w:p>
        </w:tc>
      </w:tr>
      <w:tr>
        <w:tc>
          <w:tcPr>
            <w:tcW w:type="dxa" w:w="2340"/>
          </w:tcPr>
          <w:p>
            <w:r>
              <w:t>Large (≥15 kWh)</w:t>
            </w:r>
          </w:p>
        </w:tc>
        <w:tc>
          <w:tcPr>
            <w:tcW w:type="dxa" w:w="2340"/>
          </w:tcPr>
          <w:p>
            <w:r>
              <w:t>160458</w:t>
            </w:r>
          </w:p>
        </w:tc>
        <w:tc>
          <w:tcPr>
            <w:tcW w:type="dxa" w:w="2340"/>
          </w:tcPr>
          <w:p>
            <w:r>
              <w:t>33.778021078591</w:t>
            </w:r>
          </w:p>
        </w:tc>
        <w:tc>
          <w:tcPr>
            <w:tcW w:type="dxa" w:w="2340"/>
          </w:tcPr>
          <w:p>
            <w:r>
              <w:t>63.84215149297</w:t>
            </w:r>
          </w:p>
        </w:tc>
      </w:tr>
      <w:tr>
        <w:tc>
          <w:tcPr>
            <w:tcW w:type="dxa" w:w="2340"/>
          </w:tcPr>
          <w:p>
            <w:r>
              <w:t>Medium (10-15 kWh)</w:t>
            </w:r>
          </w:p>
        </w:tc>
        <w:tc>
          <w:tcPr>
            <w:tcW w:type="dxa" w:w="2340"/>
          </w:tcPr>
          <w:p>
            <w:r>
              <w:t>682077</w:t>
            </w:r>
          </w:p>
        </w:tc>
        <w:tc>
          <w:tcPr>
            <w:tcW w:type="dxa" w:w="2340"/>
          </w:tcPr>
          <w:p>
            <w:r>
              <w:t>28.4354884376061</w:t>
            </w:r>
          </w:p>
        </w:tc>
        <w:tc>
          <w:tcPr>
            <w:tcW w:type="dxa" w:w="2340"/>
          </w:tcPr>
          <w:p>
            <w:r>
              <w:t>59.2495558503648</w:t>
            </w:r>
          </w:p>
        </w:tc>
      </w:tr>
      <w:tr>
        <w:tc>
          <w:tcPr>
            <w:tcW w:type="dxa" w:w="2340"/>
          </w:tcPr>
          <w:p>
            <w:r>
              <w:t>Small (&lt;10 kWh)</w:t>
            </w:r>
          </w:p>
        </w:tc>
        <w:tc>
          <w:tcPr>
            <w:tcW w:type="dxa" w:w="2340"/>
          </w:tcPr>
          <w:p>
            <w:r>
              <w:t>49158</w:t>
            </w:r>
          </w:p>
        </w:tc>
        <w:tc>
          <w:tcPr>
            <w:tcW w:type="dxa" w:w="2340"/>
          </w:tcPr>
          <w:p>
            <w:r>
              <w:t>28.2364144412836</w:t>
            </w:r>
          </w:p>
        </w:tc>
        <w:tc>
          <w:tcPr>
            <w:tcW w:type="dxa" w:w="2340"/>
          </w:tcPr>
          <w:p>
            <w:r>
              <w:t>55.1802721184214</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OEM_Model</w:t>
            </w:r>
          </w:p>
        </w:tc>
        <w:tc>
          <w:tcPr>
            <w:tcW w:type="dxa" w:w="2340"/>
          </w:tcPr>
          <w:p>
            <w:r>
              <w:rPr>
                <w:b/>
              </w:rPr>
              <w:t>n</w:t>
            </w:r>
          </w:p>
        </w:tc>
        <w:tc>
          <w:tcPr>
            <w:tcW w:type="dxa" w:w="2340"/>
          </w:tcPr>
          <w:p>
            <w:r>
              <w:rPr>
                <w:b/>
              </w:rPr>
              <w:t>EDS_median</w:t>
            </w:r>
          </w:p>
        </w:tc>
        <w:tc>
          <w:tcPr>
            <w:tcW w:type="dxa" w:w="2340"/>
          </w:tcPr>
          <w:p>
            <w:r>
              <w:rPr>
                <w:b/>
              </w:rPr>
              <w:t>EDS_sd</w:t>
            </w:r>
          </w:p>
        </w:tc>
      </w:tr>
      <w:tr>
        <w:tc>
          <w:tcPr>
            <w:tcW w:type="dxa" w:w="2340"/>
          </w:tcPr>
          <w:p>
            <w:r>
              <w:t>FORD KUGA</w:t>
            </w:r>
          </w:p>
        </w:tc>
        <w:tc>
          <w:tcPr>
            <w:tcW w:type="dxa" w:w="2340"/>
          </w:tcPr>
          <w:p>
            <w:r>
              <w:t>67832</w:t>
            </w:r>
          </w:p>
        </w:tc>
        <w:tc>
          <w:tcPr>
            <w:tcW w:type="dxa" w:w="2340"/>
          </w:tcPr>
          <w:p>
            <w:r>
              <w:t>37.339049320606</w:t>
            </w:r>
          </w:p>
        </w:tc>
        <w:tc>
          <w:tcPr>
            <w:tcW w:type="dxa" w:w="2340"/>
          </w:tcPr>
          <w:p>
            <w:r>
              <w:t>22.4580669066398</w:t>
            </w:r>
          </w:p>
        </w:tc>
      </w:tr>
      <w:tr>
        <w:tc>
          <w:tcPr>
            <w:tcW w:type="dxa" w:w="2340"/>
          </w:tcPr>
          <w:p>
            <w:r>
              <w:t>MERCEDES-BENZ GLC300</w:t>
            </w:r>
          </w:p>
        </w:tc>
        <w:tc>
          <w:tcPr>
            <w:tcW w:type="dxa" w:w="2340"/>
          </w:tcPr>
          <w:p>
            <w:r>
              <w:t>59364</w:t>
            </w:r>
          </w:p>
        </w:tc>
        <w:tc>
          <w:tcPr>
            <w:tcW w:type="dxa" w:w="2340"/>
          </w:tcPr>
          <w:p>
            <w:r>
              <w:t>19.5058818665128</w:t>
            </w:r>
          </w:p>
        </w:tc>
        <w:tc>
          <w:tcPr>
            <w:tcW w:type="dxa" w:w="2340"/>
          </w:tcPr>
          <w:p>
            <w:r>
              <w:t>19.960001462323</w:t>
            </w:r>
          </w:p>
        </w:tc>
      </w:tr>
      <w:tr>
        <w:tc>
          <w:tcPr>
            <w:tcW w:type="dxa" w:w="2340"/>
          </w:tcPr>
          <w:p>
            <w:r>
              <w:t>VOLVO XC40</w:t>
            </w:r>
          </w:p>
        </w:tc>
        <w:tc>
          <w:tcPr>
            <w:tcW w:type="dxa" w:w="2340"/>
          </w:tcPr>
          <w:p>
            <w:r>
              <w:t>53140</w:t>
            </w:r>
          </w:p>
        </w:tc>
        <w:tc>
          <w:tcPr>
            <w:tcW w:type="dxa" w:w="2340"/>
          </w:tcPr>
          <w:p>
            <w:r>
              <w:t>24.8030029704093</w:t>
            </w:r>
          </w:p>
        </w:tc>
        <w:tc>
          <w:tcPr>
            <w:tcW w:type="dxa" w:w="2340"/>
          </w:tcPr>
          <w:p>
            <w:r>
              <w:t>20.5422093661776</w:t>
            </w:r>
          </w:p>
        </w:tc>
      </w:tr>
      <w:tr>
        <w:tc>
          <w:tcPr>
            <w:tcW w:type="dxa" w:w="2340"/>
          </w:tcPr>
          <w:p>
            <w:r>
              <w:t>VOLVO XC60</w:t>
            </w:r>
          </w:p>
        </w:tc>
        <w:tc>
          <w:tcPr>
            <w:tcW w:type="dxa" w:w="2340"/>
          </w:tcPr>
          <w:p>
            <w:r>
              <w:t>50212</w:t>
            </w:r>
          </w:p>
        </w:tc>
        <w:tc>
          <w:tcPr>
            <w:tcW w:type="dxa" w:w="2340"/>
          </w:tcPr>
          <w:p>
            <w:r>
              <w:t>26.8712426594385</w:t>
            </w:r>
          </w:p>
        </w:tc>
        <w:tc>
          <w:tcPr>
            <w:tcW w:type="dxa" w:w="2340"/>
          </w:tcPr>
          <w:p>
            <w:r>
              <w:t>20.1368498829086</w:t>
            </w:r>
          </w:p>
        </w:tc>
      </w:tr>
      <w:tr>
        <w:tc>
          <w:tcPr>
            <w:tcW w:type="dxa" w:w="2340"/>
          </w:tcPr>
          <w:p>
            <w:r>
              <w:t>MERCEDES-BENZ GLE350</w:t>
            </w:r>
          </w:p>
        </w:tc>
        <w:tc>
          <w:tcPr>
            <w:tcW w:type="dxa" w:w="2340"/>
          </w:tcPr>
          <w:p>
            <w:r>
              <w:t>44076</w:t>
            </w:r>
          </w:p>
        </w:tc>
        <w:tc>
          <w:tcPr>
            <w:tcW w:type="dxa" w:w="2340"/>
          </w:tcPr>
          <w:p>
            <w:r>
              <w:t>29.6181406048698</w:t>
            </w:r>
          </w:p>
        </w:tc>
        <w:tc>
          <w:tcPr>
            <w:tcW w:type="dxa" w:w="2340"/>
          </w:tcPr>
          <w:p>
            <w:r>
              <w:t>20.6141071894543</w:t>
            </w:r>
          </w:p>
        </w:tc>
      </w:tr>
      <w:tr>
        <w:tc>
          <w:tcPr>
            <w:tcW w:type="dxa" w:w="2340"/>
          </w:tcPr>
          <w:p>
            <w:r>
              <w:t>RENAULT CAPTUR</w:t>
            </w:r>
          </w:p>
        </w:tc>
        <w:tc>
          <w:tcPr>
            <w:tcW w:type="dxa" w:w="2340"/>
          </w:tcPr>
          <w:p>
            <w:r>
              <w:t>35290</w:t>
            </w:r>
          </w:p>
        </w:tc>
        <w:tc>
          <w:tcPr>
            <w:tcW w:type="dxa" w:w="2340"/>
          </w:tcPr>
          <w:p>
            <w:r>
              <w:t>33.8945498947816</w:t>
            </w:r>
          </w:p>
        </w:tc>
        <w:tc>
          <w:tcPr>
            <w:tcW w:type="dxa" w:w="2340"/>
          </w:tcPr>
          <w:p>
            <w:r>
              <w:t>21.6120692796125</w:t>
            </w:r>
          </w:p>
        </w:tc>
      </w:tr>
      <w:tr>
        <w:tc>
          <w:tcPr>
            <w:tcW w:type="dxa" w:w="2340"/>
          </w:tcPr>
          <w:p>
            <w:r>
              <w:t>PEUGEOT 3008</w:t>
            </w:r>
          </w:p>
        </w:tc>
        <w:tc>
          <w:tcPr>
            <w:tcW w:type="dxa" w:w="2340"/>
          </w:tcPr>
          <w:p>
            <w:r>
              <w:t>29795</w:t>
            </w:r>
          </w:p>
        </w:tc>
        <w:tc>
          <w:tcPr>
            <w:tcW w:type="dxa" w:w="2340"/>
          </w:tcPr>
          <w:p>
            <w:r>
              <w:t>27.7654819738004</w:t>
            </w:r>
          </w:p>
        </w:tc>
        <w:tc>
          <w:tcPr>
            <w:tcW w:type="dxa" w:w="2340"/>
          </w:tcPr>
          <w:p>
            <w:r>
              <w:t>18.8394760714439</w:t>
            </w:r>
          </w:p>
        </w:tc>
      </w:tr>
      <w:tr>
        <w:tc>
          <w:tcPr>
            <w:tcW w:type="dxa" w:w="2340"/>
          </w:tcPr>
          <w:p>
            <w:r>
              <w:t>MERCEDES-BENZ A250</w:t>
            </w:r>
          </w:p>
        </w:tc>
        <w:tc>
          <w:tcPr>
            <w:tcW w:type="dxa" w:w="2340"/>
          </w:tcPr>
          <w:p>
            <w:r>
              <w:t>29386</w:t>
            </w:r>
          </w:p>
        </w:tc>
        <w:tc>
          <w:tcPr>
            <w:tcW w:type="dxa" w:w="2340"/>
          </w:tcPr>
          <w:p>
            <w:r>
              <w:t>34.9184743752576</w:t>
            </w:r>
          </w:p>
        </w:tc>
        <w:tc>
          <w:tcPr>
            <w:tcW w:type="dxa" w:w="2340"/>
          </w:tcPr>
          <w:p>
            <w:r>
              <w:t>24.7684010712651</w:t>
            </w:r>
          </w:p>
        </w:tc>
      </w:tr>
      <w:tr>
        <w:tc>
          <w:tcPr>
            <w:tcW w:type="dxa" w:w="2340"/>
          </w:tcPr>
          <w:p>
            <w:r>
              <w:t>BMW X5</w:t>
            </w:r>
          </w:p>
        </w:tc>
        <w:tc>
          <w:tcPr>
            <w:tcW w:type="dxa" w:w="2340"/>
          </w:tcPr>
          <w:p>
            <w:r>
              <w:t>23469</w:t>
            </w:r>
          </w:p>
        </w:tc>
        <w:tc>
          <w:tcPr>
            <w:tcW w:type="dxa" w:w="2340"/>
          </w:tcPr>
          <w:p>
            <w:r>
              <w:t>32.5746838521248</w:t>
            </w:r>
          </w:p>
        </w:tc>
        <w:tc>
          <w:tcPr>
            <w:tcW w:type="dxa" w:w="2340"/>
          </w:tcPr>
          <w:p>
            <w:r>
              <w:t>19.2960545685854</w:t>
            </w:r>
          </w:p>
        </w:tc>
      </w:tr>
      <w:tr>
        <w:tc>
          <w:tcPr>
            <w:tcW w:type="dxa" w:w="2340"/>
          </w:tcPr>
          <w:p>
            <w:r>
              <w:t>MERCEDES-BENZ GLA250</w:t>
            </w:r>
          </w:p>
        </w:tc>
        <w:tc>
          <w:tcPr>
            <w:tcW w:type="dxa" w:w="2340"/>
          </w:tcPr>
          <w:p>
            <w:r>
              <w:t>23254</w:t>
            </w:r>
          </w:p>
        </w:tc>
        <w:tc>
          <w:tcPr>
            <w:tcW w:type="dxa" w:w="2340"/>
          </w:tcPr>
          <w:p>
            <w:r>
              <w:t>39.2453228917004</w:t>
            </w:r>
          </w:p>
        </w:tc>
        <w:tc>
          <w:tcPr>
            <w:tcW w:type="dxa" w:w="2340"/>
          </w:tcPr>
          <w:p>
            <w:r>
              <w:t>23.5514672723183</w:t>
            </w:r>
          </w:p>
        </w:tc>
      </w:tr>
    </w:tbl>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Region</w:t>
            </w:r>
          </w:p>
        </w:tc>
        <w:tc>
          <w:tcPr>
            <w:tcW w:type="dxa" w:w="1872"/>
          </w:tcPr>
          <w:p>
            <w:r>
              <w:rPr>
                <w:b/>
              </w:rPr>
              <w:t>EDS_category</w:t>
            </w:r>
          </w:p>
        </w:tc>
        <w:tc>
          <w:tcPr>
            <w:tcW w:type="dxa" w:w="1872"/>
          </w:tcPr>
          <w:p>
            <w:r>
              <w:rPr>
                <w:b/>
              </w:rPr>
              <w:t>n</w:t>
            </w:r>
          </w:p>
        </w:tc>
        <w:tc>
          <w:tcPr>
            <w:tcW w:type="dxa" w:w="1872"/>
          </w:tcPr>
          <w:p>
            <w:r>
              <w:rPr>
                <w:b/>
              </w:rPr>
              <w:t>mean_EDS</w:t>
            </w:r>
          </w:p>
        </w:tc>
        <w:tc>
          <w:tcPr>
            <w:tcW w:type="dxa" w:w="1872"/>
          </w:tcPr>
          <w:p>
            <w:r>
              <w:rPr>
                <w:b/>
              </w:rPr>
              <w:t>mean_Energy</w:t>
            </w:r>
          </w:p>
        </w:tc>
      </w:tr>
      <w:tr>
        <w:tc>
          <w:tcPr>
            <w:tcW w:type="dxa" w:w="1872"/>
          </w:tcPr>
          <w:p>
            <w:r>
              <w:t>Central</w:t>
            </w:r>
          </w:p>
        </w:tc>
        <w:tc>
          <w:tcPr>
            <w:tcW w:type="dxa" w:w="1872"/>
          </w:tcPr>
          <w:p>
            <w:r>
              <w:t>High</w:t>
            </w:r>
          </w:p>
        </w:tc>
        <w:tc>
          <w:tcPr>
            <w:tcW w:type="dxa" w:w="1872"/>
          </w:tcPr>
          <w:p>
            <w:r>
              <w:t>7923</w:t>
            </w:r>
          </w:p>
        </w:tc>
        <w:tc>
          <w:tcPr>
            <w:tcW w:type="dxa" w:w="1872"/>
          </w:tcPr>
          <w:p>
            <w:r>
              <w:t>62.2509119673646</w:t>
            </w:r>
          </w:p>
        </w:tc>
        <w:tc>
          <w:tcPr>
            <w:tcW w:type="dxa" w:w="1872"/>
          </w:tcPr>
          <w:p>
            <w:r>
              <w:t>48.2119208605611</w:t>
            </w:r>
          </w:p>
        </w:tc>
      </w:tr>
      <w:tr>
        <w:tc>
          <w:tcPr>
            <w:tcW w:type="dxa" w:w="1872"/>
          </w:tcPr>
          <w:p>
            <w:r>
              <w:t>Central</w:t>
            </w:r>
          </w:p>
        </w:tc>
        <w:tc>
          <w:tcPr>
            <w:tcW w:type="dxa" w:w="1872"/>
          </w:tcPr>
          <w:p>
            <w:r>
              <w:t>Low</w:t>
            </w:r>
          </w:p>
        </w:tc>
        <w:tc>
          <w:tcPr>
            <w:tcW w:type="dxa" w:w="1872"/>
          </w:tcPr>
          <w:p>
            <w:r>
              <w:t>16921</w:t>
            </w:r>
          </w:p>
        </w:tc>
        <w:tc>
          <w:tcPr>
            <w:tcW w:type="dxa" w:w="1872"/>
          </w:tcPr>
          <w:p>
            <w:r>
              <w:t>9.25276532234646</w:t>
            </w:r>
          </w:p>
        </w:tc>
        <w:tc>
          <w:tcPr>
            <w:tcW w:type="dxa" w:w="1872"/>
          </w:tcPr>
          <w:p>
            <w:r>
              <w:t>75.3242739480138</w:t>
            </w:r>
          </w:p>
        </w:tc>
      </w:tr>
      <w:tr>
        <w:tc>
          <w:tcPr>
            <w:tcW w:type="dxa" w:w="1872"/>
          </w:tcPr>
          <w:p>
            <w:r>
              <w:t>Central</w:t>
            </w:r>
          </w:p>
        </w:tc>
        <w:tc>
          <w:tcPr>
            <w:tcW w:type="dxa" w:w="1872"/>
          </w:tcPr>
          <w:p>
            <w:r>
              <w:t>Medium</w:t>
            </w:r>
          </w:p>
        </w:tc>
        <w:tc>
          <w:tcPr>
            <w:tcW w:type="dxa" w:w="1872"/>
          </w:tcPr>
          <w:p>
            <w:r>
              <w:t>20810</w:t>
            </w:r>
          </w:p>
        </w:tc>
        <w:tc>
          <w:tcPr>
            <w:tcW w:type="dxa" w:w="1872"/>
          </w:tcPr>
          <w:p>
            <w:r>
              <w:t>33.924230843662</w:t>
            </w:r>
          </w:p>
        </w:tc>
        <w:tc>
          <w:tcPr>
            <w:tcW w:type="dxa" w:w="1872"/>
          </w:tcPr>
          <w:p>
            <w:r>
              <w:t>62.5623380112286</w:t>
            </w:r>
          </w:p>
        </w:tc>
      </w:tr>
      <w:tr>
        <w:tc>
          <w:tcPr>
            <w:tcW w:type="dxa" w:w="1872"/>
          </w:tcPr>
          <w:p>
            <w:r>
              <w:t>Northern</w:t>
            </w:r>
          </w:p>
        </w:tc>
        <w:tc>
          <w:tcPr>
            <w:tcW w:type="dxa" w:w="1872"/>
          </w:tcPr>
          <w:p>
            <w:r>
              <w:t>High</w:t>
            </w:r>
          </w:p>
        </w:tc>
        <w:tc>
          <w:tcPr>
            <w:tcW w:type="dxa" w:w="1872"/>
          </w:tcPr>
          <w:p>
            <w:r>
              <w:t>36481</w:t>
            </w:r>
          </w:p>
        </w:tc>
        <w:tc>
          <w:tcPr>
            <w:tcW w:type="dxa" w:w="1872"/>
          </w:tcPr>
          <w:p>
            <w:r>
              <w:t>62.611634583713</w:t>
            </w:r>
          </w:p>
        </w:tc>
        <w:tc>
          <w:tcPr>
            <w:tcW w:type="dxa" w:w="1872"/>
          </w:tcPr>
          <w:p>
            <w:r>
              <w:t>43.7756195697376</w:t>
            </w:r>
          </w:p>
        </w:tc>
      </w:tr>
      <w:tr>
        <w:tc>
          <w:tcPr>
            <w:tcW w:type="dxa" w:w="1872"/>
          </w:tcPr>
          <w:p>
            <w:r>
              <w:t>Northern</w:t>
            </w:r>
          </w:p>
        </w:tc>
        <w:tc>
          <w:tcPr>
            <w:tcW w:type="dxa" w:w="1872"/>
          </w:tcPr>
          <w:p>
            <w:r>
              <w:t>Low</w:t>
            </w:r>
          </w:p>
        </w:tc>
        <w:tc>
          <w:tcPr>
            <w:tcW w:type="dxa" w:w="1872"/>
          </w:tcPr>
          <w:p>
            <w:r>
              <w:t>46813</w:t>
            </w:r>
          </w:p>
        </w:tc>
        <w:tc>
          <w:tcPr>
            <w:tcW w:type="dxa" w:w="1872"/>
          </w:tcPr>
          <w:p>
            <w:r>
              <w:t>8.37464794851882</w:t>
            </w:r>
          </w:p>
        </w:tc>
        <w:tc>
          <w:tcPr>
            <w:tcW w:type="dxa" w:w="1872"/>
          </w:tcPr>
          <w:p>
            <w:r>
              <w:t>65.1775983483778</w:t>
            </w:r>
          </w:p>
        </w:tc>
      </w:tr>
      <w:tr>
        <w:tc>
          <w:tcPr>
            <w:tcW w:type="dxa" w:w="1872"/>
          </w:tcPr>
          <w:p>
            <w:r>
              <w:t>Northern</w:t>
            </w:r>
          </w:p>
        </w:tc>
        <w:tc>
          <w:tcPr>
            <w:tcW w:type="dxa" w:w="1872"/>
          </w:tcPr>
          <w:p>
            <w:r>
              <w:t>Medium</w:t>
            </w:r>
          </w:p>
        </w:tc>
        <w:tc>
          <w:tcPr>
            <w:tcW w:type="dxa" w:w="1872"/>
          </w:tcPr>
          <w:p>
            <w:r>
              <w:t>66139</w:t>
            </w:r>
          </w:p>
        </w:tc>
        <w:tc>
          <w:tcPr>
            <w:tcW w:type="dxa" w:w="1872"/>
          </w:tcPr>
          <w:p>
            <w:r>
              <w:t>34.9936242400557</w:t>
            </w:r>
          </w:p>
        </w:tc>
        <w:tc>
          <w:tcPr>
            <w:tcW w:type="dxa" w:w="1872"/>
          </w:tcPr>
          <w:p>
            <w:r>
              <w:t>54.8009462498126</w:t>
            </w:r>
          </w:p>
        </w:tc>
      </w:tr>
      <w:tr>
        <w:tc>
          <w:tcPr>
            <w:tcW w:type="dxa" w:w="1872"/>
          </w:tcPr>
          <w:p>
            <w:r>
              <w:t>Southern</w:t>
            </w:r>
          </w:p>
        </w:tc>
        <w:tc>
          <w:tcPr>
            <w:tcW w:type="dxa" w:w="1872"/>
          </w:tcPr>
          <w:p>
            <w:r>
              <w:t>High</w:t>
            </w:r>
          </w:p>
        </w:tc>
        <w:tc>
          <w:tcPr>
            <w:tcW w:type="dxa" w:w="1872"/>
          </w:tcPr>
          <w:p>
            <w:r>
              <w:t>25962</w:t>
            </w:r>
          </w:p>
        </w:tc>
        <w:tc>
          <w:tcPr>
            <w:tcW w:type="dxa" w:w="1872"/>
          </w:tcPr>
          <w:p>
            <w:r>
              <w:t>62.7255681405226</w:t>
            </w:r>
          </w:p>
        </w:tc>
        <w:tc>
          <w:tcPr>
            <w:tcW w:type="dxa" w:w="1872"/>
          </w:tcPr>
          <w:p>
            <w:r>
              <w:t>40.4117569323277</w:t>
            </w:r>
          </w:p>
        </w:tc>
      </w:tr>
      <w:tr>
        <w:tc>
          <w:tcPr>
            <w:tcW w:type="dxa" w:w="1872"/>
          </w:tcPr>
          <w:p>
            <w:r>
              <w:t>Southern</w:t>
            </w:r>
          </w:p>
        </w:tc>
        <w:tc>
          <w:tcPr>
            <w:tcW w:type="dxa" w:w="1872"/>
          </w:tcPr>
          <w:p>
            <w:r>
              <w:t>Low</w:t>
            </w:r>
          </w:p>
        </w:tc>
        <w:tc>
          <w:tcPr>
            <w:tcW w:type="dxa" w:w="1872"/>
          </w:tcPr>
          <w:p>
            <w:r>
              <w:t>54751</w:t>
            </w:r>
          </w:p>
        </w:tc>
        <w:tc>
          <w:tcPr>
            <w:tcW w:type="dxa" w:w="1872"/>
          </w:tcPr>
          <w:p>
            <w:r>
              <w:t>7.59912209265421</w:t>
            </w:r>
          </w:p>
        </w:tc>
        <w:tc>
          <w:tcPr>
            <w:tcW w:type="dxa" w:w="1872"/>
          </w:tcPr>
          <w:p>
            <w:r>
              <w:t>69.9873302495082</w:t>
            </w:r>
          </w:p>
        </w:tc>
      </w:tr>
      <w:tr>
        <w:tc>
          <w:tcPr>
            <w:tcW w:type="dxa" w:w="1872"/>
          </w:tcPr>
          <w:p>
            <w:r>
              <w:t>Southern</w:t>
            </w:r>
          </w:p>
        </w:tc>
        <w:tc>
          <w:tcPr>
            <w:tcW w:type="dxa" w:w="1872"/>
          </w:tcPr>
          <w:p>
            <w:r>
              <w:t>Medium</w:t>
            </w:r>
          </w:p>
        </w:tc>
        <w:tc>
          <w:tcPr>
            <w:tcW w:type="dxa" w:w="1872"/>
          </w:tcPr>
          <w:p>
            <w:r>
              <w:t>55899</w:t>
            </w:r>
          </w:p>
        </w:tc>
        <w:tc>
          <w:tcPr>
            <w:tcW w:type="dxa" w:w="1872"/>
          </w:tcPr>
          <w:p>
            <w:r>
              <w:t>34.304409100876</w:t>
            </w:r>
          </w:p>
        </w:tc>
        <w:tc>
          <w:tcPr>
            <w:tcW w:type="dxa" w:w="1872"/>
          </w:tcPr>
          <w:p>
            <w:r>
              <w:t>55.2673316698662</w:t>
            </w:r>
          </w:p>
        </w:tc>
      </w:tr>
      <w:tr>
        <w:tc>
          <w:tcPr>
            <w:tcW w:type="dxa" w:w="1872"/>
          </w:tcPr>
          <w:p>
            <w:r>
              <w:t>Western</w:t>
            </w:r>
          </w:p>
        </w:tc>
        <w:tc>
          <w:tcPr>
            <w:tcW w:type="dxa" w:w="1872"/>
          </w:tcPr>
          <w:p>
            <w:r>
              <w:t>High</w:t>
            </w:r>
          </w:p>
        </w:tc>
        <w:tc>
          <w:tcPr>
            <w:tcW w:type="dxa" w:w="1872"/>
          </w:tcPr>
          <w:p>
            <w:r>
              <w:t>97977</w:t>
            </w:r>
          </w:p>
        </w:tc>
        <w:tc>
          <w:tcPr>
            <w:tcW w:type="dxa" w:w="1872"/>
          </w:tcPr>
          <w:p>
            <w:r>
              <w:t>62.799387275338</w:t>
            </w:r>
          </w:p>
        </w:tc>
        <w:tc>
          <w:tcPr>
            <w:tcW w:type="dxa" w:w="1872"/>
          </w:tcPr>
          <w:p>
            <w:r>
              <w:t>43.9511821537895</w:t>
            </w:r>
          </w:p>
        </w:tc>
      </w:tr>
      <w:tr>
        <w:tc>
          <w:tcPr>
            <w:tcW w:type="dxa" w:w="1872"/>
          </w:tcPr>
          <w:p>
            <w:r>
              <w:t>Western</w:t>
            </w:r>
          </w:p>
        </w:tc>
        <w:tc>
          <w:tcPr>
            <w:tcW w:type="dxa" w:w="1872"/>
          </w:tcPr>
          <w:p>
            <w:r>
              <w:t>Low</w:t>
            </w:r>
          </w:p>
        </w:tc>
        <w:tc>
          <w:tcPr>
            <w:tcW w:type="dxa" w:w="1872"/>
          </w:tcPr>
          <w:p>
            <w:r>
              <w:t>233351</w:t>
            </w:r>
          </w:p>
        </w:tc>
        <w:tc>
          <w:tcPr>
            <w:tcW w:type="dxa" w:w="1872"/>
          </w:tcPr>
          <w:p>
            <w:r>
              <w:t>8.33424131973382</w:t>
            </w:r>
          </w:p>
        </w:tc>
        <w:tc>
          <w:tcPr>
            <w:tcW w:type="dxa" w:w="1872"/>
          </w:tcPr>
          <w:p>
            <w:r>
              <w:t>70.9535534007399</w:t>
            </w:r>
          </w:p>
        </w:tc>
      </w:tr>
      <w:tr>
        <w:tc>
          <w:tcPr>
            <w:tcW w:type="dxa" w:w="1872"/>
          </w:tcPr>
          <w:p>
            <w:r>
              <w:t>Western</w:t>
            </w:r>
          </w:p>
        </w:tc>
        <w:tc>
          <w:tcPr>
            <w:tcW w:type="dxa" w:w="1872"/>
          </w:tcPr>
          <w:p>
            <w:r>
              <w:t>Medium</w:t>
            </w:r>
          </w:p>
        </w:tc>
        <w:tc>
          <w:tcPr>
            <w:tcW w:type="dxa" w:w="1872"/>
          </w:tcPr>
          <w:p>
            <w:r>
              <w:t>237498</w:t>
            </w:r>
          </w:p>
        </w:tc>
        <w:tc>
          <w:tcPr>
            <w:tcW w:type="dxa" w:w="1872"/>
          </w:tcPr>
          <w:p>
            <w:r>
              <w:t>33.8657067092402</w:t>
            </w:r>
          </w:p>
        </w:tc>
        <w:tc>
          <w:tcPr>
            <w:tcW w:type="dxa" w:w="1872"/>
          </w:tcPr>
          <w:p>
            <w:r>
              <w:t>58.1346328094524</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Country</w:t>
            </w:r>
          </w:p>
        </w:tc>
        <w:tc>
          <w:tcPr>
            <w:tcW w:type="dxa" w:w="1560"/>
          </w:tcPr>
          <w:p>
            <w:r>
              <w:rPr>
                <w:b/>
              </w:rPr>
              <w:t>n</w:t>
            </w:r>
          </w:p>
        </w:tc>
        <w:tc>
          <w:tcPr>
            <w:tcW w:type="dxa" w:w="1560"/>
          </w:tcPr>
          <w:p>
            <w:r>
              <w:rPr>
                <w:b/>
              </w:rPr>
              <w:t>mean_EDSen_mech</w:t>
            </w:r>
          </w:p>
        </w:tc>
        <w:tc>
          <w:tcPr>
            <w:tcW w:type="dxa" w:w="1560"/>
          </w:tcPr>
          <w:p>
            <w:r>
              <w:rPr>
                <w:b/>
              </w:rPr>
              <w:t>median_EDSen_mech</w:t>
            </w:r>
          </w:p>
        </w:tc>
        <w:tc>
          <w:tcPr>
            <w:tcW w:type="dxa" w:w="1560"/>
          </w:tcPr>
          <w:p>
            <w:r>
              <w:rPr>
                <w:b/>
              </w:rPr>
              <w:t>mean_EnTot</w:t>
            </w:r>
          </w:p>
        </w:tc>
        <w:tc>
          <w:tcPr>
            <w:tcW w:type="dxa" w:w="1560"/>
          </w:tcPr>
          <w:p>
            <w:r>
              <w:rPr>
                <w:b/>
              </w:rPr>
              <w:t>median_EnTot</w:t>
            </w:r>
          </w:p>
        </w:tc>
      </w:tr>
      <w:tr>
        <w:tc>
          <w:tcPr>
            <w:tcW w:type="dxa" w:w="1560"/>
          </w:tcPr>
          <w:p>
            <w:r>
              <w:t>Malta</w:t>
            </w:r>
          </w:p>
        </w:tc>
        <w:tc>
          <w:tcPr>
            <w:tcW w:type="dxa" w:w="1560"/>
          </w:tcPr>
          <w:p>
            <w:r>
              <w:t>740</w:t>
            </w:r>
          </w:p>
        </w:tc>
        <w:tc>
          <w:tcPr>
            <w:tcW w:type="dxa" w:w="1560"/>
          </w:tcPr>
          <w:p>
            <w:r>
              <w:t>47.1675963196652</w:t>
            </w:r>
          </w:p>
        </w:tc>
        <w:tc>
          <w:tcPr>
            <w:tcW w:type="dxa" w:w="1560"/>
          </w:tcPr>
          <w:p>
            <w:r>
              <w:t>51.3722392918514</w:t>
            </w:r>
          </w:p>
        </w:tc>
        <w:tc>
          <w:tcPr>
            <w:tcW w:type="dxa" w:w="1560"/>
          </w:tcPr>
          <w:p>
            <w:r>
              <w:t>53.5300593838541</w:t>
            </w:r>
          </w:p>
        </w:tc>
        <w:tc>
          <w:tcPr>
            <w:tcW w:type="dxa" w:w="1560"/>
          </w:tcPr>
          <w:p>
            <w:r>
              <w:t>48.6447161607662</w:t>
            </w:r>
          </w:p>
        </w:tc>
      </w:tr>
      <w:tr>
        <w:tc>
          <w:tcPr>
            <w:tcW w:type="dxa" w:w="1560"/>
          </w:tcPr>
          <w:p>
            <w:r>
              <w:t>Cyprus</w:t>
            </w:r>
          </w:p>
        </w:tc>
        <w:tc>
          <w:tcPr>
            <w:tcW w:type="dxa" w:w="1560"/>
          </w:tcPr>
          <w:p>
            <w:r>
              <w:t>130</w:t>
            </w:r>
          </w:p>
        </w:tc>
        <w:tc>
          <w:tcPr>
            <w:tcW w:type="dxa" w:w="1560"/>
          </w:tcPr>
          <w:p>
            <w:r>
              <w:t>44.3822762717436</w:t>
            </w:r>
          </w:p>
        </w:tc>
        <w:tc>
          <w:tcPr>
            <w:tcW w:type="dxa" w:w="1560"/>
          </w:tcPr>
          <w:p>
            <w:r>
              <w:t>46.200586772007</w:t>
            </w:r>
          </w:p>
        </w:tc>
        <w:tc>
          <w:tcPr>
            <w:tcW w:type="dxa" w:w="1560"/>
          </w:tcPr>
          <w:p>
            <w:r>
              <w:t>50.9280367770952</w:t>
            </w:r>
          </w:p>
        </w:tc>
        <w:tc>
          <w:tcPr>
            <w:tcW w:type="dxa" w:w="1560"/>
          </w:tcPr>
          <w:p>
            <w:r>
              <w:t>47.1290602520366</w:t>
            </w:r>
          </w:p>
        </w:tc>
      </w:tr>
      <w:tr>
        <w:tc>
          <w:tcPr>
            <w:tcW w:type="dxa" w:w="1560"/>
          </w:tcPr>
          <w:p>
            <w:r>
              <w:t>Finland</w:t>
            </w:r>
          </w:p>
        </w:tc>
        <w:tc>
          <w:tcPr>
            <w:tcW w:type="dxa" w:w="1560"/>
          </w:tcPr>
          <w:p>
            <w:r>
              <w:t>23450</w:t>
            </w:r>
          </w:p>
        </w:tc>
        <w:tc>
          <w:tcPr>
            <w:tcW w:type="dxa" w:w="1560"/>
          </w:tcPr>
          <w:p>
            <w:r>
              <w:t>39.3835911884084</w:t>
            </w:r>
          </w:p>
        </w:tc>
        <w:tc>
          <w:tcPr>
            <w:tcW w:type="dxa" w:w="1560"/>
          </w:tcPr>
          <w:p>
            <w:r>
              <w:t>39.9209165722361</w:t>
            </w:r>
          </w:p>
        </w:tc>
        <w:tc>
          <w:tcPr>
            <w:tcW w:type="dxa" w:w="1560"/>
          </w:tcPr>
          <w:p>
            <w:r>
              <w:t>54.6695891020266</w:t>
            </w:r>
          </w:p>
        </w:tc>
        <w:tc>
          <w:tcPr>
            <w:tcW w:type="dxa" w:w="1560"/>
          </w:tcPr>
          <w:p>
            <w:r>
              <w:t>53.3701166478495</w:t>
            </w:r>
          </w:p>
        </w:tc>
      </w:tr>
      <w:tr>
        <w:tc>
          <w:tcPr>
            <w:tcW w:type="dxa" w:w="1560"/>
          </w:tcPr>
          <w:p>
            <w:r>
              <w:t>Ireland</w:t>
            </w:r>
          </w:p>
        </w:tc>
        <w:tc>
          <w:tcPr>
            <w:tcW w:type="dxa" w:w="1560"/>
          </w:tcPr>
          <w:p>
            <w:r>
              <w:t>8421</w:t>
            </w:r>
          </w:p>
        </w:tc>
        <w:tc>
          <w:tcPr>
            <w:tcW w:type="dxa" w:w="1560"/>
          </w:tcPr>
          <w:p>
            <w:r>
              <w:t>37.343420392481</w:t>
            </w:r>
          </w:p>
        </w:tc>
        <w:tc>
          <w:tcPr>
            <w:tcW w:type="dxa" w:w="1560"/>
          </w:tcPr>
          <w:p>
            <w:r>
              <w:t>38.1234809678545</w:t>
            </w:r>
          </w:p>
        </w:tc>
        <w:tc>
          <w:tcPr>
            <w:tcW w:type="dxa" w:w="1560"/>
          </w:tcPr>
          <w:p>
            <w:r>
              <w:t>59.1205664314416</w:t>
            </w:r>
          </w:p>
        </w:tc>
        <w:tc>
          <w:tcPr>
            <w:tcW w:type="dxa" w:w="1560"/>
          </w:tcPr>
          <w:p>
            <w:r>
              <w:t>57.086084924936</w:t>
            </w:r>
          </w:p>
        </w:tc>
      </w:tr>
      <w:tr>
        <w:tc>
          <w:tcPr>
            <w:tcW w:type="dxa" w:w="1560"/>
          </w:tcPr>
          <w:p>
            <w:r>
              <w:t>Estonia</w:t>
            </w:r>
          </w:p>
        </w:tc>
        <w:tc>
          <w:tcPr>
            <w:tcW w:type="dxa" w:w="1560"/>
          </w:tcPr>
          <w:p>
            <w:r>
              <w:t>350</w:t>
            </w:r>
          </w:p>
        </w:tc>
        <w:tc>
          <w:tcPr>
            <w:tcW w:type="dxa" w:w="1560"/>
          </w:tcPr>
          <w:p>
            <w:r>
              <w:t>36.3661675835379</w:t>
            </w:r>
          </w:p>
        </w:tc>
        <w:tc>
          <w:tcPr>
            <w:tcW w:type="dxa" w:w="1560"/>
          </w:tcPr>
          <w:p>
            <w:r>
              <w:t>35.2541800175015</w:t>
            </w:r>
          </w:p>
        </w:tc>
        <w:tc>
          <w:tcPr>
            <w:tcW w:type="dxa" w:w="1560"/>
          </w:tcPr>
          <w:p>
            <w:r>
              <w:t>61.9323655740231</w:t>
            </w:r>
          </w:p>
        </w:tc>
        <w:tc>
          <w:tcPr>
            <w:tcW w:type="dxa" w:w="1560"/>
          </w:tcPr>
          <w:p>
            <w:r>
              <w:t>60.023724437573</w:t>
            </w:r>
          </w:p>
        </w:tc>
      </w:tr>
      <w:tr>
        <w:tc>
          <w:tcPr>
            <w:tcW w:type="dxa" w:w="1560"/>
          </w:tcPr>
          <w:p>
            <w:r>
              <w:t>Norway</w:t>
            </w:r>
          </w:p>
        </w:tc>
        <w:tc>
          <w:tcPr>
            <w:tcW w:type="dxa" w:w="1560"/>
          </w:tcPr>
          <w:p>
            <w:r>
              <w:t>16183</w:t>
            </w:r>
          </w:p>
        </w:tc>
        <w:tc>
          <w:tcPr>
            <w:tcW w:type="dxa" w:w="1560"/>
          </w:tcPr>
          <w:p>
            <w:r>
              <w:t>33.8501166598978</w:t>
            </w:r>
          </w:p>
        </w:tc>
        <w:tc>
          <w:tcPr>
            <w:tcW w:type="dxa" w:w="1560"/>
          </w:tcPr>
          <w:p>
            <w:r>
              <w:t>34.297443077637</w:t>
            </w:r>
          </w:p>
        </w:tc>
        <w:tc>
          <w:tcPr>
            <w:tcW w:type="dxa" w:w="1560"/>
          </w:tcPr>
          <w:p>
            <w:r>
              <w:t>54.4954578028577</w:t>
            </w:r>
          </w:p>
        </w:tc>
        <w:tc>
          <w:tcPr>
            <w:tcW w:type="dxa" w:w="1560"/>
          </w:tcPr>
          <w:p>
            <w:r>
              <w:t>51.7840896617539</w:t>
            </w:r>
          </w:p>
        </w:tc>
      </w:tr>
      <w:tr>
        <w:tc>
          <w:tcPr>
            <w:tcW w:type="dxa" w:w="1560"/>
          </w:tcPr>
          <w:p>
            <w:r>
              <w:t>Sweden</w:t>
            </w:r>
          </w:p>
        </w:tc>
        <w:tc>
          <w:tcPr>
            <w:tcW w:type="dxa" w:w="1560"/>
          </w:tcPr>
          <w:p>
            <w:r>
              <w:t>76178</w:t>
            </w:r>
          </w:p>
        </w:tc>
        <w:tc>
          <w:tcPr>
            <w:tcW w:type="dxa" w:w="1560"/>
          </w:tcPr>
          <w:p>
            <w:r>
              <w:t>32.6831504331095</w:t>
            </w:r>
          </w:p>
        </w:tc>
        <w:tc>
          <w:tcPr>
            <w:tcW w:type="dxa" w:w="1560"/>
          </w:tcPr>
          <w:p>
            <w:r>
              <w:t>31.7452242732281</w:t>
            </w:r>
          </w:p>
        </w:tc>
        <w:tc>
          <w:tcPr>
            <w:tcW w:type="dxa" w:w="1560"/>
          </w:tcPr>
          <w:p>
            <w:r>
              <w:t>56.3414359285455</w:t>
            </w:r>
          </w:p>
        </w:tc>
        <w:tc>
          <w:tcPr>
            <w:tcW w:type="dxa" w:w="1560"/>
          </w:tcPr>
          <w:p>
            <w:r>
              <w:t>55.6533969683107</w:t>
            </w:r>
          </w:p>
        </w:tc>
      </w:tr>
      <w:tr>
        <w:tc>
          <w:tcPr>
            <w:tcW w:type="dxa" w:w="1560"/>
          </w:tcPr>
          <w:p>
            <w:r>
              <w:t>Slovakia</w:t>
            </w:r>
          </w:p>
        </w:tc>
        <w:tc>
          <w:tcPr>
            <w:tcW w:type="dxa" w:w="1560"/>
          </w:tcPr>
          <w:p>
            <w:r>
              <w:t>1445</w:t>
            </w:r>
          </w:p>
        </w:tc>
        <w:tc>
          <w:tcPr>
            <w:tcW w:type="dxa" w:w="1560"/>
          </w:tcPr>
          <w:p>
            <w:r>
              <w:t>33.0803072902069</w:t>
            </w:r>
          </w:p>
        </w:tc>
        <w:tc>
          <w:tcPr>
            <w:tcW w:type="dxa" w:w="1560"/>
          </w:tcPr>
          <w:p>
            <w:r>
              <w:t>31.2223201183604</w:t>
            </w:r>
          </w:p>
        </w:tc>
        <w:tc>
          <w:tcPr>
            <w:tcW w:type="dxa" w:w="1560"/>
          </w:tcPr>
          <w:p>
            <w:r>
              <w:t>64.2897632006575</w:t>
            </w:r>
          </w:p>
        </w:tc>
        <w:tc>
          <w:tcPr>
            <w:tcW w:type="dxa" w:w="1560"/>
          </w:tcPr>
          <w:p>
            <w:r>
              <w:t>63.0868242468048</w:t>
            </w:r>
          </w:p>
        </w:tc>
      </w:tr>
      <w:tr>
        <w:tc>
          <w:tcPr>
            <w:tcW w:type="dxa" w:w="1560"/>
          </w:tcPr>
          <w:p>
            <w:r>
              <w:t>Slovenia</w:t>
            </w:r>
          </w:p>
        </w:tc>
        <w:tc>
          <w:tcPr>
            <w:tcW w:type="dxa" w:w="1560"/>
          </w:tcPr>
          <w:p>
            <w:r>
              <w:t>571</w:t>
            </w:r>
          </w:p>
        </w:tc>
        <w:tc>
          <w:tcPr>
            <w:tcW w:type="dxa" w:w="1560"/>
          </w:tcPr>
          <w:p>
            <w:r>
              <w:t>32.3159602799563</w:t>
            </w:r>
          </w:p>
        </w:tc>
        <w:tc>
          <w:tcPr>
            <w:tcW w:type="dxa" w:w="1560"/>
          </w:tcPr>
          <w:p>
            <w:r>
              <w:t>30.666737129587</w:t>
            </w:r>
          </w:p>
        </w:tc>
        <w:tc>
          <w:tcPr>
            <w:tcW w:type="dxa" w:w="1560"/>
          </w:tcPr>
          <w:p>
            <w:r>
              <w:t>60.5319917494321</w:t>
            </w:r>
          </w:p>
        </w:tc>
        <w:tc>
          <w:tcPr>
            <w:tcW w:type="dxa" w:w="1560"/>
          </w:tcPr>
          <w:p>
            <w:r>
              <w:t>59.6416189324741</w:t>
            </w:r>
          </w:p>
        </w:tc>
      </w:tr>
      <w:tr>
        <w:tc>
          <w:tcPr>
            <w:tcW w:type="dxa" w:w="1560"/>
          </w:tcPr>
          <w:p>
            <w:r>
              <w:t>Portugal</w:t>
            </w:r>
          </w:p>
        </w:tc>
        <w:tc>
          <w:tcPr>
            <w:tcW w:type="dxa" w:w="1560"/>
          </w:tcPr>
          <w:p>
            <w:r>
              <w:t>20641</w:t>
            </w:r>
          </w:p>
        </w:tc>
        <w:tc>
          <w:tcPr>
            <w:tcW w:type="dxa" w:w="1560"/>
          </w:tcPr>
          <w:p>
            <w:r>
              <w:t>32.2922146619549</w:t>
            </w:r>
          </w:p>
        </w:tc>
        <w:tc>
          <w:tcPr>
            <w:tcW w:type="dxa" w:w="1560"/>
          </w:tcPr>
          <w:p>
            <w:r>
              <w:t>30.5553661202541</w:t>
            </w:r>
          </w:p>
        </w:tc>
        <w:tc>
          <w:tcPr>
            <w:tcW w:type="dxa" w:w="1560"/>
          </w:tcPr>
          <w:p>
            <w:r>
              <w:t>57.1738949980757</w:t>
            </w:r>
          </w:p>
        </w:tc>
        <w:tc>
          <w:tcPr>
            <w:tcW w:type="dxa" w:w="1560"/>
          </w:tcPr>
          <w:p>
            <w:r>
              <w:t>55.5731769790928</w:t>
            </w:r>
          </w:p>
        </w:tc>
      </w:tr>
      <w:tr>
        <w:tc>
          <w:tcPr>
            <w:tcW w:type="dxa" w:w="1560"/>
          </w:tcPr>
          <w:p>
            <w:r>
              <w:t>Denmark</w:t>
            </w:r>
          </w:p>
        </w:tc>
        <w:tc>
          <w:tcPr>
            <w:tcW w:type="dxa" w:w="1560"/>
          </w:tcPr>
          <w:p>
            <w:r>
              <w:t>31003</w:t>
            </w:r>
          </w:p>
        </w:tc>
        <w:tc>
          <w:tcPr>
            <w:tcW w:type="dxa" w:w="1560"/>
          </w:tcPr>
          <w:p>
            <w:r>
              <w:t>30.5214139102523</w:t>
            </w:r>
          </w:p>
        </w:tc>
        <w:tc>
          <w:tcPr>
            <w:tcW w:type="dxa" w:w="1560"/>
          </w:tcPr>
          <w:p>
            <w:r>
              <w:t>29.5450443001981</w:t>
            </w:r>
          </w:p>
        </w:tc>
        <w:tc>
          <w:tcPr>
            <w:tcW w:type="dxa" w:w="1560"/>
          </w:tcPr>
          <w:p>
            <w:r>
              <w:t>53.2054757678883</w:t>
            </w:r>
          </w:p>
        </w:tc>
        <w:tc>
          <w:tcPr>
            <w:tcW w:type="dxa" w:w="1560"/>
          </w:tcPr>
          <w:p>
            <w:r>
              <w:t>52.2514732337021</w:t>
            </w:r>
          </w:p>
        </w:tc>
      </w:tr>
      <w:tr>
        <w:tc>
          <w:tcPr>
            <w:tcW w:type="dxa" w:w="1560"/>
          </w:tcPr>
          <w:p>
            <w:r>
              <w:t>Hungary</w:t>
            </w:r>
          </w:p>
        </w:tc>
        <w:tc>
          <w:tcPr>
            <w:tcW w:type="dxa" w:w="1560"/>
          </w:tcPr>
          <w:p>
            <w:r>
              <w:t>4940</w:t>
            </w:r>
          </w:p>
        </w:tc>
        <w:tc>
          <w:tcPr>
            <w:tcW w:type="dxa" w:w="1560"/>
          </w:tcPr>
          <w:p>
            <w:r>
              <w:t>31.3085795362343</w:t>
            </w:r>
          </w:p>
        </w:tc>
        <w:tc>
          <w:tcPr>
            <w:tcW w:type="dxa" w:w="1560"/>
          </w:tcPr>
          <w:p>
            <w:r>
              <w:t>29.4937202977282</w:t>
            </w:r>
          </w:p>
        </w:tc>
        <w:tc>
          <w:tcPr>
            <w:tcW w:type="dxa" w:w="1560"/>
          </w:tcPr>
          <w:p>
            <w:r>
              <w:t>64.3456164375038</w:t>
            </w:r>
          </w:p>
        </w:tc>
        <w:tc>
          <w:tcPr>
            <w:tcW w:type="dxa" w:w="1560"/>
          </w:tcPr>
          <w:p>
            <w:r>
              <w:t>63.2363781964001</w:t>
            </w:r>
          </w:p>
        </w:tc>
      </w:tr>
      <w:tr>
        <w:tc>
          <w:tcPr>
            <w:tcW w:type="dxa" w:w="1560"/>
          </w:tcPr>
          <w:p>
            <w:r>
              <w:t>Iceland</w:t>
            </w:r>
          </w:p>
        </w:tc>
        <w:tc>
          <w:tcPr>
            <w:tcW w:type="dxa" w:w="1560"/>
          </w:tcPr>
          <w:p>
            <w:r>
              <w:t>1524</w:t>
            </w:r>
          </w:p>
        </w:tc>
        <w:tc>
          <w:tcPr>
            <w:tcW w:type="dxa" w:w="1560"/>
          </w:tcPr>
          <w:p>
            <w:r>
              <w:t>31.6450244526297</w:t>
            </w:r>
          </w:p>
        </w:tc>
        <w:tc>
          <w:tcPr>
            <w:tcW w:type="dxa" w:w="1560"/>
          </w:tcPr>
          <w:p>
            <w:r>
              <w:t>29.3899900692355</w:t>
            </w:r>
          </w:p>
        </w:tc>
        <w:tc>
          <w:tcPr>
            <w:tcW w:type="dxa" w:w="1560"/>
          </w:tcPr>
          <w:p>
            <w:r>
              <w:t>64.7340019616195</w:t>
            </w:r>
          </w:p>
        </w:tc>
        <w:tc>
          <w:tcPr>
            <w:tcW w:type="dxa" w:w="1560"/>
          </w:tcPr>
          <w:p>
            <w:r>
              <w:t>64.1864312966192</w:t>
            </w:r>
          </w:p>
        </w:tc>
      </w:tr>
      <w:tr>
        <w:tc>
          <w:tcPr>
            <w:tcW w:type="dxa" w:w="1560"/>
          </w:tcPr>
          <w:p>
            <w:r>
              <w:t>Bulgaria</w:t>
            </w:r>
          </w:p>
        </w:tc>
        <w:tc>
          <w:tcPr>
            <w:tcW w:type="dxa" w:w="1560"/>
          </w:tcPr>
          <w:p>
            <w:r>
              <w:t>677</w:t>
            </w:r>
          </w:p>
        </w:tc>
        <w:tc>
          <w:tcPr>
            <w:tcW w:type="dxa" w:w="1560"/>
          </w:tcPr>
          <w:p>
            <w:r>
              <w:t>30.156403873329</w:t>
            </w:r>
          </w:p>
        </w:tc>
        <w:tc>
          <w:tcPr>
            <w:tcW w:type="dxa" w:w="1560"/>
          </w:tcPr>
          <w:p>
            <w:r>
              <w:t>29.3612140064537</w:t>
            </w:r>
          </w:p>
        </w:tc>
        <w:tc>
          <w:tcPr>
            <w:tcW w:type="dxa" w:w="1560"/>
          </w:tcPr>
          <w:p>
            <w:r>
              <w:t>67.4955223575156</w:t>
            </w:r>
          </w:p>
        </w:tc>
        <w:tc>
          <w:tcPr>
            <w:tcW w:type="dxa" w:w="1560"/>
          </w:tcPr>
          <w:p>
            <w:r>
              <w:t>66.4741706942162</w:t>
            </w:r>
          </w:p>
        </w:tc>
      </w:tr>
      <w:tr>
        <w:tc>
          <w:tcPr>
            <w:tcW w:type="dxa" w:w="1560"/>
          </w:tcPr>
          <w:p>
            <w:r>
              <w:t>Spain</w:t>
            </w:r>
          </w:p>
        </w:tc>
        <w:tc>
          <w:tcPr>
            <w:tcW w:type="dxa" w:w="1560"/>
          </w:tcPr>
          <w:p>
            <w:r>
              <w:t>42315</w:t>
            </w:r>
          </w:p>
        </w:tc>
        <w:tc>
          <w:tcPr>
            <w:tcW w:type="dxa" w:w="1560"/>
          </w:tcPr>
          <w:p>
            <w:r>
              <w:t>30.5644360912321</w:t>
            </w:r>
          </w:p>
        </w:tc>
        <w:tc>
          <w:tcPr>
            <w:tcW w:type="dxa" w:w="1560"/>
          </w:tcPr>
          <w:p>
            <w:r>
              <w:t>28.8595007132688</w:t>
            </w:r>
          </w:p>
        </w:tc>
        <w:tc>
          <w:tcPr>
            <w:tcW w:type="dxa" w:w="1560"/>
          </w:tcPr>
          <w:p>
            <w:r>
              <w:t>56.8737552681177</w:t>
            </w:r>
          </w:p>
        </w:tc>
        <w:tc>
          <w:tcPr>
            <w:tcW w:type="dxa" w:w="1560"/>
          </w:tcPr>
          <w:p>
            <w:r>
              <w:t>54.9860655069133</w:t>
            </w:r>
          </w:p>
        </w:tc>
      </w:tr>
      <w:tr>
        <w:tc>
          <w:tcPr>
            <w:tcW w:type="dxa" w:w="1560"/>
          </w:tcPr>
          <w:p>
            <w:r>
              <w:t>Poland</w:t>
            </w:r>
          </w:p>
        </w:tc>
        <w:tc>
          <w:tcPr>
            <w:tcW w:type="dxa" w:w="1560"/>
          </w:tcPr>
          <w:p>
            <w:r>
              <w:t>10409</w:t>
            </w:r>
          </w:p>
        </w:tc>
        <w:tc>
          <w:tcPr>
            <w:tcW w:type="dxa" w:w="1560"/>
          </w:tcPr>
          <w:p>
            <w:r>
              <w:t>30.5908937312741</w:t>
            </w:r>
          </w:p>
        </w:tc>
        <w:tc>
          <w:tcPr>
            <w:tcW w:type="dxa" w:w="1560"/>
          </w:tcPr>
          <w:p>
            <w:r>
              <w:t>28.7838812511349</w:t>
            </w:r>
          </w:p>
        </w:tc>
        <w:tc>
          <w:tcPr>
            <w:tcW w:type="dxa" w:w="1560"/>
          </w:tcPr>
          <w:p>
            <w:r>
              <w:t>66.2842395908029</w:t>
            </w:r>
          </w:p>
        </w:tc>
        <w:tc>
          <w:tcPr>
            <w:tcW w:type="dxa" w:w="1560"/>
          </w:tcPr>
          <w:p>
            <w:r>
              <w:t>64.8634892425478</w:t>
            </w:r>
          </w:p>
        </w:tc>
      </w:tr>
      <w:tr>
        <w:tc>
          <w:tcPr>
            <w:tcW w:type="dxa" w:w="1560"/>
          </w:tcPr>
          <w:p>
            <w:r>
              <w:t>Lithuania</w:t>
            </w:r>
          </w:p>
        </w:tc>
        <w:tc>
          <w:tcPr>
            <w:tcW w:type="dxa" w:w="1560"/>
          </w:tcPr>
          <w:p>
            <w:r>
              <w:t>551</w:t>
            </w:r>
          </w:p>
        </w:tc>
        <w:tc>
          <w:tcPr>
            <w:tcW w:type="dxa" w:w="1560"/>
          </w:tcPr>
          <w:p>
            <w:r>
              <w:t>30.3706766154362</w:t>
            </w:r>
          </w:p>
        </w:tc>
        <w:tc>
          <w:tcPr>
            <w:tcW w:type="dxa" w:w="1560"/>
          </w:tcPr>
          <w:p>
            <w:r>
              <w:t>28.7683866745129</w:t>
            </w:r>
          </w:p>
        </w:tc>
        <w:tc>
          <w:tcPr>
            <w:tcW w:type="dxa" w:w="1560"/>
          </w:tcPr>
          <w:p>
            <w:r>
              <w:t>65.6119543151798</w:t>
            </w:r>
          </w:p>
        </w:tc>
        <w:tc>
          <w:tcPr>
            <w:tcW w:type="dxa" w:w="1560"/>
          </w:tcPr>
          <w:p>
            <w:r>
              <w:t>63.4199795233059</w:t>
            </w:r>
          </w:p>
        </w:tc>
      </w:tr>
      <w:tr>
        <w:tc>
          <w:tcPr>
            <w:tcW w:type="dxa" w:w="1560"/>
          </w:tcPr>
          <w:p>
            <w:r>
              <w:t>Netherlands</w:t>
            </w:r>
          </w:p>
        </w:tc>
        <w:tc>
          <w:tcPr>
            <w:tcW w:type="dxa" w:w="1560"/>
          </w:tcPr>
          <w:p>
            <w:r>
              <w:t>39629</w:t>
            </w:r>
          </w:p>
        </w:tc>
        <w:tc>
          <w:tcPr>
            <w:tcW w:type="dxa" w:w="1560"/>
          </w:tcPr>
          <w:p>
            <w:r>
              <w:t>29.809121118254</w:t>
            </w:r>
          </w:p>
        </w:tc>
        <w:tc>
          <w:tcPr>
            <w:tcW w:type="dxa" w:w="1560"/>
          </w:tcPr>
          <w:p>
            <w:r>
              <w:t>28.1302111203403</w:t>
            </w:r>
          </w:p>
        </w:tc>
        <w:tc>
          <w:tcPr>
            <w:tcW w:type="dxa" w:w="1560"/>
          </w:tcPr>
          <w:p>
            <w:r>
              <w:t>59.7233361875964</w:t>
            </w:r>
          </w:p>
        </w:tc>
        <w:tc>
          <w:tcPr>
            <w:tcW w:type="dxa" w:w="1560"/>
          </w:tcPr>
          <w:p>
            <w:r>
              <w:t>57.4558747068062</w:t>
            </w:r>
          </w:p>
        </w:tc>
      </w:tr>
      <w:tr>
        <w:tc>
          <w:tcPr>
            <w:tcW w:type="dxa" w:w="1560"/>
          </w:tcPr>
          <w:p>
            <w:r>
              <w:t>Luxembourg</w:t>
            </w:r>
          </w:p>
        </w:tc>
        <w:tc>
          <w:tcPr>
            <w:tcW w:type="dxa" w:w="1560"/>
          </w:tcPr>
          <w:p>
            <w:r>
              <w:t>4557</w:t>
            </w:r>
          </w:p>
        </w:tc>
        <w:tc>
          <w:tcPr>
            <w:tcW w:type="dxa" w:w="1560"/>
          </w:tcPr>
          <w:p>
            <w:r>
              <w:t>29.7388849690778</w:t>
            </w:r>
          </w:p>
        </w:tc>
        <w:tc>
          <w:tcPr>
            <w:tcW w:type="dxa" w:w="1560"/>
          </w:tcPr>
          <w:p>
            <w:r>
              <w:t>27.704097208433</w:t>
            </w:r>
          </w:p>
        </w:tc>
        <w:tc>
          <w:tcPr>
            <w:tcW w:type="dxa" w:w="1560"/>
          </w:tcPr>
          <w:p>
            <w:r>
              <w:t>62.4613650502561</w:t>
            </w:r>
          </w:p>
        </w:tc>
        <w:tc>
          <w:tcPr>
            <w:tcW w:type="dxa" w:w="1560"/>
          </w:tcPr>
          <w:p>
            <w:r>
              <w:t>61.2967255895428</w:t>
            </w:r>
          </w:p>
        </w:tc>
      </w:tr>
      <w:tr>
        <w:tc>
          <w:tcPr>
            <w:tcW w:type="dxa" w:w="1560"/>
          </w:tcPr>
          <w:p>
            <w:r>
              <w:t>Czech Republic</w:t>
            </w:r>
          </w:p>
        </w:tc>
        <w:tc>
          <w:tcPr>
            <w:tcW w:type="dxa" w:w="1560"/>
          </w:tcPr>
          <w:p>
            <w:r>
              <w:t>4360</w:t>
            </w:r>
          </w:p>
        </w:tc>
        <w:tc>
          <w:tcPr>
            <w:tcW w:type="dxa" w:w="1560"/>
          </w:tcPr>
          <w:p>
            <w:r>
              <w:t>30.0813721430123</w:t>
            </w:r>
          </w:p>
        </w:tc>
        <w:tc>
          <w:tcPr>
            <w:tcW w:type="dxa" w:w="1560"/>
          </w:tcPr>
          <w:p>
            <w:r>
              <w:t>27.6895406994802</w:t>
            </w:r>
          </w:p>
        </w:tc>
        <w:tc>
          <w:tcPr>
            <w:tcW w:type="dxa" w:w="1560"/>
          </w:tcPr>
          <w:p>
            <w:r>
              <w:t>62.314286593102</w:t>
            </w:r>
          </w:p>
        </w:tc>
        <w:tc>
          <w:tcPr>
            <w:tcW w:type="dxa" w:w="1560"/>
          </w:tcPr>
          <w:p>
            <w:r>
              <w:t>59.9532360337996</w:t>
            </w:r>
          </w:p>
        </w:tc>
      </w:tr>
      <w:tr>
        <w:tc>
          <w:tcPr>
            <w:tcW w:type="dxa" w:w="1560"/>
          </w:tcPr>
          <w:p>
            <w:r>
              <w:t>Belgium</w:t>
            </w:r>
          </w:p>
        </w:tc>
        <w:tc>
          <w:tcPr>
            <w:tcW w:type="dxa" w:w="1560"/>
          </w:tcPr>
          <w:p>
            <w:r>
              <w:t>67475</w:t>
            </w:r>
          </w:p>
        </w:tc>
        <w:tc>
          <w:tcPr>
            <w:tcW w:type="dxa" w:w="1560"/>
          </w:tcPr>
          <w:p>
            <w:r>
              <w:t>29.057534844457</w:t>
            </w:r>
          </w:p>
        </w:tc>
        <w:tc>
          <w:tcPr>
            <w:tcW w:type="dxa" w:w="1560"/>
          </w:tcPr>
          <w:p>
            <w:r>
              <w:t>26.8365225523027</w:t>
            </w:r>
          </w:p>
        </w:tc>
        <w:tc>
          <w:tcPr>
            <w:tcW w:type="dxa" w:w="1560"/>
          </w:tcPr>
          <w:p>
            <w:r>
              <w:t>60.5537681751433</w:t>
            </w:r>
          </w:p>
        </w:tc>
        <w:tc>
          <w:tcPr>
            <w:tcW w:type="dxa" w:w="1560"/>
          </w:tcPr>
          <w:p>
            <w:r>
              <w:t>59.3145437629911</w:t>
            </w:r>
          </w:p>
        </w:tc>
      </w:tr>
      <w:tr>
        <w:tc>
          <w:tcPr>
            <w:tcW w:type="dxa" w:w="1560"/>
          </w:tcPr>
          <w:p>
            <w:r>
              <w:t>Croatia</w:t>
            </w:r>
          </w:p>
        </w:tc>
        <w:tc>
          <w:tcPr>
            <w:tcW w:type="dxa" w:w="1560"/>
          </w:tcPr>
          <w:p>
            <w:r>
              <w:t>922</w:t>
            </w:r>
          </w:p>
        </w:tc>
        <w:tc>
          <w:tcPr>
            <w:tcW w:type="dxa" w:w="1560"/>
          </w:tcPr>
          <w:p>
            <w:r>
              <w:t>29.0224458696311</w:t>
            </w:r>
          </w:p>
        </w:tc>
        <w:tc>
          <w:tcPr>
            <w:tcW w:type="dxa" w:w="1560"/>
          </w:tcPr>
          <w:p>
            <w:r>
              <w:t>26.594600270785</w:t>
            </w:r>
          </w:p>
        </w:tc>
        <w:tc>
          <w:tcPr>
            <w:tcW w:type="dxa" w:w="1560"/>
          </w:tcPr>
          <w:p>
            <w:r>
              <w:t>69.7721400296588</w:t>
            </w:r>
          </w:p>
        </w:tc>
        <w:tc>
          <w:tcPr>
            <w:tcW w:type="dxa" w:w="1560"/>
          </w:tcPr>
          <w:p>
            <w:r>
              <w:t>68.754128936908</w:t>
            </w:r>
          </w:p>
        </w:tc>
      </w:tr>
      <w:tr>
        <w:tc>
          <w:tcPr>
            <w:tcW w:type="dxa" w:w="1560"/>
          </w:tcPr>
          <w:p>
            <w:r>
              <w:t>Austria</w:t>
            </w:r>
          </w:p>
        </w:tc>
        <w:tc>
          <w:tcPr>
            <w:tcW w:type="dxa" w:w="1560"/>
          </w:tcPr>
          <w:p>
            <w:r>
              <w:t>17955</w:t>
            </w:r>
          </w:p>
        </w:tc>
        <w:tc>
          <w:tcPr>
            <w:tcW w:type="dxa" w:w="1560"/>
          </w:tcPr>
          <w:p>
            <w:r>
              <w:t>28.910985414961</w:t>
            </w:r>
          </w:p>
        </w:tc>
        <w:tc>
          <w:tcPr>
            <w:tcW w:type="dxa" w:w="1560"/>
          </w:tcPr>
          <w:p>
            <w:r>
              <w:t>26.3691493419696</w:t>
            </w:r>
          </w:p>
        </w:tc>
        <w:tc>
          <w:tcPr>
            <w:tcW w:type="dxa" w:w="1560"/>
          </w:tcPr>
          <w:p>
            <w:r>
              <w:t>63.9417443364552</w:t>
            </w:r>
          </w:p>
        </w:tc>
        <w:tc>
          <w:tcPr>
            <w:tcW w:type="dxa" w:w="1560"/>
          </w:tcPr>
          <w:p>
            <w:r>
              <w:t>62.5982124802274</w:t>
            </w:r>
          </w:p>
        </w:tc>
      </w:tr>
      <w:tr>
        <w:tc>
          <w:tcPr>
            <w:tcW w:type="dxa" w:w="1560"/>
          </w:tcPr>
          <w:p>
            <w:r>
              <w:t>Greece</w:t>
            </w:r>
          </w:p>
        </w:tc>
        <w:tc>
          <w:tcPr>
            <w:tcW w:type="dxa" w:w="1560"/>
          </w:tcPr>
          <w:p>
            <w:r>
              <w:t>5853</w:t>
            </w:r>
          </w:p>
        </w:tc>
        <w:tc>
          <w:tcPr>
            <w:tcW w:type="dxa" w:w="1560"/>
          </w:tcPr>
          <w:p>
            <w:r>
              <w:t>28.1014721136588</w:t>
            </w:r>
          </w:p>
        </w:tc>
        <w:tc>
          <w:tcPr>
            <w:tcW w:type="dxa" w:w="1560"/>
          </w:tcPr>
          <w:p>
            <w:r>
              <w:t>26.11193197124</w:t>
            </w:r>
          </w:p>
        </w:tc>
        <w:tc>
          <w:tcPr>
            <w:tcW w:type="dxa" w:w="1560"/>
          </w:tcPr>
          <w:p>
            <w:r>
              <w:t>62.8930545982149</w:t>
            </w:r>
          </w:p>
        </w:tc>
        <w:tc>
          <w:tcPr>
            <w:tcW w:type="dxa" w:w="1560"/>
          </w:tcPr>
          <w:p>
            <w:r>
              <w:t>61.6484407182934</w:t>
            </w:r>
          </w:p>
        </w:tc>
      </w:tr>
      <w:tr>
        <w:tc>
          <w:tcPr>
            <w:tcW w:type="dxa" w:w="1560"/>
          </w:tcPr>
          <w:p>
            <w:r>
              <w:t>Romania</w:t>
            </w:r>
          </w:p>
        </w:tc>
        <w:tc>
          <w:tcPr>
            <w:tcW w:type="dxa" w:w="1560"/>
          </w:tcPr>
          <w:p>
            <w:r>
              <w:t>5297</w:t>
            </w:r>
          </w:p>
        </w:tc>
        <w:tc>
          <w:tcPr>
            <w:tcW w:type="dxa" w:w="1560"/>
          </w:tcPr>
          <w:p>
            <w:r>
              <w:t>27.5131956182792</w:t>
            </w:r>
          </w:p>
        </w:tc>
        <w:tc>
          <w:tcPr>
            <w:tcW w:type="dxa" w:w="1560"/>
          </w:tcPr>
          <w:p>
            <w:r>
              <w:t>25.1656073889672</w:t>
            </w:r>
          </w:p>
        </w:tc>
        <w:tc>
          <w:tcPr>
            <w:tcW w:type="dxa" w:w="1560"/>
          </w:tcPr>
          <w:p>
            <w:r>
              <w:t>67.533716161489</w:t>
            </w:r>
          </w:p>
        </w:tc>
        <w:tc>
          <w:tcPr>
            <w:tcW w:type="dxa" w:w="1560"/>
          </w:tcPr>
          <w:p>
            <w:r>
              <w:t>65.5088707188503</w:t>
            </w:r>
          </w:p>
        </w:tc>
      </w:tr>
      <w:tr>
        <w:tc>
          <w:tcPr>
            <w:tcW w:type="dxa" w:w="1560"/>
          </w:tcPr>
          <w:p>
            <w:r>
              <w:t>France</w:t>
            </w:r>
          </w:p>
        </w:tc>
        <w:tc>
          <w:tcPr>
            <w:tcW w:type="dxa" w:w="1560"/>
          </w:tcPr>
          <w:p>
            <w:r>
              <w:t>133002</w:t>
            </w:r>
          </w:p>
        </w:tc>
        <w:tc>
          <w:tcPr>
            <w:tcW w:type="dxa" w:w="1560"/>
          </w:tcPr>
          <w:p>
            <w:r>
              <w:t>27.4797245267245</w:t>
            </w:r>
          </w:p>
        </w:tc>
        <w:tc>
          <w:tcPr>
            <w:tcW w:type="dxa" w:w="1560"/>
          </w:tcPr>
          <w:p>
            <w:r>
              <w:t>25.0020472377332</w:t>
            </w:r>
          </w:p>
        </w:tc>
        <w:tc>
          <w:tcPr>
            <w:tcW w:type="dxa" w:w="1560"/>
          </w:tcPr>
          <w:p>
            <w:r>
              <w:t>60.7462748866882</w:t>
            </w:r>
          </w:p>
        </w:tc>
        <w:tc>
          <w:tcPr>
            <w:tcW w:type="dxa" w:w="1560"/>
          </w:tcPr>
          <w:p>
            <w:r>
              <w:t>58.8233794765258</w:t>
            </w:r>
          </w:p>
        </w:tc>
      </w:tr>
      <w:tr>
        <w:tc>
          <w:tcPr>
            <w:tcW w:type="dxa" w:w="1560"/>
          </w:tcPr>
          <w:p>
            <w:r>
              <w:t>Germany</w:t>
            </w:r>
          </w:p>
        </w:tc>
        <w:tc>
          <w:tcPr>
            <w:tcW w:type="dxa" w:w="1560"/>
          </w:tcPr>
          <w:p>
            <w:r>
              <w:t>315742</w:t>
            </w:r>
          </w:p>
        </w:tc>
        <w:tc>
          <w:tcPr>
            <w:tcW w:type="dxa" w:w="1560"/>
          </w:tcPr>
          <w:p>
            <w:r>
              <w:t>28.168335341673</w:t>
            </w:r>
          </w:p>
        </w:tc>
        <w:tc>
          <w:tcPr>
            <w:tcW w:type="dxa" w:w="1560"/>
          </w:tcPr>
          <w:p>
            <w:r>
              <w:t>24.9185474568607</w:t>
            </w:r>
          </w:p>
        </w:tc>
        <w:tc>
          <w:tcPr>
            <w:tcW w:type="dxa" w:w="1560"/>
          </w:tcPr>
          <w:p>
            <w:r>
              <w:t>61.3020702223609</w:t>
            </w:r>
          </w:p>
        </w:tc>
        <w:tc>
          <w:tcPr>
            <w:tcW w:type="dxa" w:w="1560"/>
          </w:tcPr>
          <w:p>
            <w:r>
              <w:t>59.5959461998594</w:t>
            </w:r>
          </w:p>
        </w:tc>
      </w:tr>
      <w:tr>
        <w:tc>
          <w:tcPr>
            <w:tcW w:type="dxa" w:w="1560"/>
          </w:tcPr>
          <w:p>
            <w:r>
              <w:t>Latvia</w:t>
            </w:r>
          </w:p>
        </w:tc>
        <w:tc>
          <w:tcPr>
            <w:tcW w:type="dxa" w:w="1560"/>
          </w:tcPr>
          <w:p>
            <w:r>
              <w:t>194</w:t>
            </w:r>
          </w:p>
        </w:tc>
        <w:tc>
          <w:tcPr>
            <w:tcW w:type="dxa" w:w="1560"/>
          </w:tcPr>
          <w:p>
            <w:r>
              <w:t>28.8518047013793</w:t>
            </w:r>
          </w:p>
        </w:tc>
        <w:tc>
          <w:tcPr>
            <w:tcW w:type="dxa" w:w="1560"/>
          </w:tcPr>
          <w:p>
            <w:r>
              <w:t>24.4497193419228</w:t>
            </w:r>
          </w:p>
        </w:tc>
        <w:tc>
          <w:tcPr>
            <w:tcW w:type="dxa" w:w="1560"/>
          </w:tcPr>
          <w:p>
            <w:r>
              <w:t>55.282524699647</w:t>
            </w:r>
          </w:p>
        </w:tc>
        <w:tc>
          <w:tcPr>
            <w:tcW w:type="dxa" w:w="1560"/>
          </w:tcPr>
          <w:p>
            <w:r>
              <w:t>53.8085491140029</w:t>
            </w:r>
          </w:p>
        </w:tc>
      </w:tr>
      <w:tr>
        <w:tc>
          <w:tcPr>
            <w:tcW w:type="dxa" w:w="1560"/>
          </w:tcPr>
          <w:p>
            <w:r>
              <w:t>Italy</w:t>
            </w:r>
          </w:p>
        </w:tc>
        <w:tc>
          <w:tcPr>
            <w:tcW w:type="dxa" w:w="1560"/>
          </w:tcPr>
          <w:p>
            <w:r>
              <w:t>66011</w:t>
            </w:r>
          </w:p>
        </w:tc>
        <w:tc>
          <w:tcPr>
            <w:tcW w:type="dxa" w:w="1560"/>
          </w:tcPr>
          <w:p>
            <w:r>
              <w:t>26.8187855582585</w:t>
            </w:r>
          </w:p>
        </w:tc>
        <w:tc>
          <w:tcPr>
            <w:tcW w:type="dxa" w:w="1560"/>
          </w:tcPr>
          <w:p>
            <w:r>
              <w:t>23.5845667426626</w:t>
            </w:r>
          </w:p>
        </w:tc>
        <w:tc>
          <w:tcPr>
            <w:tcW w:type="dxa" w:w="1560"/>
          </w:tcPr>
          <w:p>
            <w:r>
              <w:t>59.1571064483239</w:t>
            </w:r>
          </w:p>
        </w:tc>
        <w:tc>
          <w:tcPr>
            <w:tcW w:type="dxa" w:w="1560"/>
          </w:tcPr>
          <w:p>
            <w:r>
              <w:t>58.0296438483252</w:t>
            </w:r>
          </w:p>
        </w:tc>
      </w:tr>
    </w:tbl>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Model</w:t>
            </w:r>
          </w:p>
        </w:tc>
        <w:tc>
          <w:tcPr>
            <w:tcW w:type="dxa" w:w="1872"/>
          </w:tcPr>
          <w:p>
            <w:r>
              <w:rPr>
                <w:b/>
              </w:rPr>
              <w:t>Train_R2</w:t>
            </w:r>
          </w:p>
        </w:tc>
        <w:tc>
          <w:tcPr>
            <w:tcW w:type="dxa" w:w="1872"/>
          </w:tcPr>
          <w:p>
            <w:r>
              <w:rPr>
                <w:b/>
              </w:rPr>
              <w:t>Test_R2</w:t>
            </w:r>
          </w:p>
        </w:tc>
        <w:tc>
          <w:tcPr>
            <w:tcW w:type="dxa" w:w="1872"/>
          </w:tcPr>
          <w:p>
            <w:r>
              <w:rPr>
                <w:b/>
              </w:rPr>
              <w:t>Test_RMSE</w:t>
            </w:r>
          </w:p>
        </w:tc>
        <w:tc>
          <w:tcPr>
            <w:tcW w:type="dxa" w:w="1872"/>
          </w:tcPr>
          <w:p>
            <w:r>
              <w:rPr>
                <w:b/>
              </w:rPr>
              <w:t>Notes</w:t>
            </w:r>
          </w:p>
        </w:tc>
      </w:tr>
      <w:tr>
        <w:tc>
          <w:tcPr>
            <w:tcW w:type="dxa" w:w="1872"/>
          </w:tcPr>
          <w:p>
            <w:r>
              <w:t>XGBoost</w:t>
            </w:r>
          </w:p>
        </w:tc>
        <w:tc>
          <w:tcPr>
            <w:tcW w:type="dxa" w:w="1872"/>
          </w:tcPr>
          <w:p>
            <w:r>
              <w:t>0.25</w:t>
            </w:r>
          </w:p>
        </w:tc>
        <w:tc>
          <w:tcPr>
            <w:tcW w:type="dxa" w:w="1872"/>
          </w:tcPr>
          <w:p>
            <w:r>
              <w:t>0.197</w:t>
            </w:r>
          </w:p>
        </w:tc>
        <w:tc>
          <w:tcPr>
            <w:tcW w:type="dxa" w:w="1872"/>
          </w:tcPr>
          <w:p>
            <w:r>
              <w:t>19.12</w:t>
            </w:r>
          </w:p>
        </w:tc>
        <w:tc>
          <w:tcPr>
            <w:tcW w:type="dxa" w:w="1872"/>
          </w:tcPr>
          <w:p>
            <w:r>
              <w:t>Primary model</w:t>
            </w:r>
          </w:p>
        </w:tc>
      </w:tr>
      <w:tr>
        <w:tc>
          <w:tcPr>
            <w:tcW w:type="dxa" w:w="1872"/>
          </w:tcPr>
          <w:p>
            <w:r>
              <w:t>GAM</w:t>
            </w:r>
          </w:p>
        </w:tc>
        <w:tc>
          <w:tcPr>
            <w:tcW w:type="dxa" w:w="1872"/>
          </w:tcPr>
          <w:p>
            <w:r>
              <w:t>0.22</w:t>
            </w:r>
          </w:p>
        </w:tc>
        <w:tc>
          <w:tcPr>
            <w:tcW w:type="dxa" w:w="1872"/>
          </w:tcPr>
          <w:p>
            <w:r>
              <w:t>0.18</w:t>
            </w:r>
          </w:p>
        </w:tc>
        <w:tc>
          <w:tcPr>
            <w:tcW w:type="dxa" w:w="1872"/>
          </w:tcPr>
          <w:p>
            <w:r>
              <w:t>20.5</w:t>
            </w:r>
          </w:p>
        </w:tc>
        <w:tc>
          <w:tcPr>
            <w:tcW w:type="dxa" w:w="1872"/>
          </w:tcPr>
          <w:p>
            <w:r>
              <w:t>Non-linear</w:t>
            </w:r>
          </w:p>
        </w:tc>
      </w:tr>
      <w:tr>
        <w:tc>
          <w:tcPr>
            <w:tcW w:type="dxa" w:w="1872"/>
          </w:tcPr>
          <w:p>
            <w:r>
              <w:t>Random Forest</w:t>
            </w:r>
          </w:p>
        </w:tc>
        <w:tc>
          <w:tcPr>
            <w:tcW w:type="dxa" w:w="1872"/>
          </w:tcPr>
          <w:p>
            <w:r>
              <w:t>0.2</w:t>
            </w:r>
          </w:p>
        </w:tc>
        <w:tc>
          <w:tcPr>
            <w:tcW w:type="dxa" w:w="1872"/>
          </w:tcPr>
          <w:p>
            <w:r>
              <w:t>0.17</w:t>
            </w:r>
          </w:p>
        </w:tc>
        <w:tc>
          <w:tcPr>
            <w:tcW w:type="dxa" w:w="1872"/>
          </w:tcPr>
          <w:p>
            <w:r>
              <w:t>21.0</w:t>
            </w:r>
          </w:p>
        </w:tc>
        <w:tc>
          <w:tcPr>
            <w:tcW w:type="dxa" w:w="1872"/>
          </w:tcPr>
          <w:p>
            <w:r>
              <w:t>Ensemble</w:t>
            </w:r>
          </w:p>
        </w:tc>
      </w:tr>
      <w:tr>
        <w:tc>
          <w:tcPr>
            <w:tcW w:type="dxa" w:w="1872"/>
          </w:tcPr>
          <w:p>
            <w:r>
              <w:t>Ensemble</w:t>
            </w:r>
          </w:p>
        </w:tc>
        <w:tc>
          <w:tcPr>
            <w:tcW w:type="dxa" w:w="1872"/>
          </w:tcPr>
          <w:p>
            <w:r>
              <w:t>0.26</w:t>
            </w:r>
          </w:p>
        </w:tc>
        <w:tc>
          <w:tcPr>
            <w:tcW w:type="dxa" w:w="1872"/>
          </w:tcPr>
          <w:p>
            <w:r>
              <w:t>0.2</w:t>
            </w:r>
          </w:p>
        </w:tc>
        <w:tc>
          <w:tcPr>
            <w:tcW w:type="dxa" w:w="1872"/>
          </w:tcPr>
          <w:p>
            <w:r>
              <w:t>18.9</w:t>
            </w:r>
          </w:p>
        </w:tc>
        <w:tc>
          <w:tcPr>
            <w:tcW w:type="dxa" w:w="1872"/>
          </w:tcPr>
          <w:p>
            <w:r>
              <w:t>Stacked</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n</w:t>
            </w:r>
          </w:p>
        </w:tc>
        <w:tc>
          <w:tcPr>
            <w:tcW w:type="dxa" w:w="1560"/>
          </w:tcPr>
          <w:p>
            <w:r>
              <w:rPr>
                <w:b/>
              </w:rPr>
              <w:t>EDSen_mech_median</w:t>
            </w:r>
          </w:p>
        </w:tc>
        <w:tc>
          <w:tcPr>
            <w:tcW w:type="dxa" w:w="1560"/>
          </w:tcPr>
          <w:p>
            <w:r>
              <w:rPr>
                <w:b/>
              </w:rPr>
              <w:t>EDSen_mech_mean</w:t>
            </w:r>
          </w:p>
        </w:tc>
        <w:tc>
          <w:tcPr>
            <w:tcW w:type="dxa" w:w="1560"/>
          </w:tcPr>
          <w:p>
            <w:r>
              <w:rPr>
                <w:b/>
              </w:rPr>
              <w:t>EnTot_median</w:t>
            </w:r>
          </w:p>
        </w:tc>
        <w:tc>
          <w:tcPr>
            <w:tcW w:type="dxa" w:w="1560"/>
          </w:tcPr>
          <w:p>
            <w:r>
              <w:rPr>
                <w:b/>
              </w:rPr>
              <w:t>EnTot_mean</w:t>
            </w:r>
          </w:p>
        </w:tc>
        <w:tc>
          <w:tcPr>
            <w:tcW w:type="dxa" w:w="1560"/>
          </w:tcPr>
          <w:p>
            <w:r>
              <w:rPr>
                <w:b/>
              </w:rPr>
              <w:t>source</w:t>
            </w:r>
          </w:p>
        </w:tc>
      </w:tr>
      <w:tr>
        <w:tc>
          <w:tcPr>
            <w:tcW w:type="dxa" w:w="1560"/>
          </w:tcPr>
          <w:p>
            <w:r>
              <w:t>900525</w:t>
            </w:r>
          </w:p>
        </w:tc>
        <w:tc>
          <w:tcPr>
            <w:tcW w:type="dxa" w:w="1560"/>
          </w:tcPr>
          <w:p>
            <w:r>
              <w:t>27.0455332892906</w:t>
            </w:r>
          </w:p>
        </w:tc>
        <w:tc>
          <w:tcPr>
            <w:tcW w:type="dxa" w:w="1560"/>
          </w:tcPr>
          <w:p>
            <w:r>
              <w:t>29.3708932390173</w:t>
            </w:r>
          </w:p>
        </w:tc>
        <w:tc>
          <w:tcPr>
            <w:tcW w:type="dxa" w:w="1560"/>
          </w:tcPr>
          <w:p>
            <w:r>
              <w:t>58.1266402745684</w:t>
            </w:r>
          </w:p>
        </w:tc>
        <w:tc>
          <w:tcPr>
            <w:tcW w:type="dxa" w:w="1560"/>
          </w:tcPr>
          <w:p>
            <w:r>
              <w:t>59.8225101767833</w:t>
            </w:r>
          </w:p>
        </w:tc>
        <w:tc>
          <w:tcPr>
            <w:tcW w:type="dxa" w:w="1560"/>
          </w:tcPr>
          <w:p>
            <w:r>
              <w:t>OBFCM Fleet</w:t>
            </w:r>
          </w:p>
        </w:tc>
      </w:tr>
    </w:tbl>
    <w:tbl>
      <w:tblPr>
        <w:tblW w:type="auto" w:w="0"/>
        <w:tblLook w:firstColumn="1" w:firstRow="1" w:lastColumn="0" w:lastRow="0" w:noHBand="0" w:noVBand="1" w:val="04A0"/>
      </w:tblPr>
      <w:tblGrid>
        <w:gridCol w:w="3120"/>
        <w:gridCol w:w="3120"/>
        <w:gridCol w:w="3120"/>
      </w:tblGrid>
      <w:tr>
        <w:tc>
          <w:tcPr>
            <w:tcW w:type="dxa" w:w="3120"/>
          </w:tcPr>
          <w:p>
            <w:r>
              <w:rPr>
                <w:b/>
              </w:rPr>
              <w:t>Predictor</w:t>
            </w:r>
          </w:p>
        </w:tc>
        <w:tc>
          <w:tcPr>
            <w:tcW w:type="dxa" w:w="3120"/>
          </w:tcPr>
          <w:p>
            <w:r>
              <w:rPr>
                <w:b/>
              </w:rPr>
              <w:t>Type</w:t>
            </w:r>
          </w:p>
        </w:tc>
        <w:tc>
          <w:tcPr>
            <w:tcW w:type="dxa" w:w="3120"/>
          </w:tcPr>
          <w:p>
            <w:r>
              <w:rPr>
                <w:b/>
              </w:rPr>
              <w:t>Available_for_EEA</w:t>
            </w:r>
          </w:p>
        </w:tc>
      </w:tr>
      <w:tr>
        <w:tc>
          <w:tcPr>
            <w:tcW w:type="dxa" w:w="3120"/>
          </w:tcPr>
          <w:p>
            <w:r>
              <w:t>Mass</w:t>
            </w:r>
          </w:p>
        </w:tc>
        <w:tc>
          <w:tcPr>
            <w:tcW w:type="dxa" w:w="3120"/>
          </w:tcPr>
          <w:p>
            <w:r>
              <w:t>Vehicle Spec</w:t>
            </w:r>
          </w:p>
        </w:tc>
        <w:tc>
          <w:tcPr>
            <w:tcW w:type="dxa" w:w="3120"/>
          </w:tcPr>
          <w:p>
            <w:r>
              <w:t>Yes</w:t>
            </w:r>
          </w:p>
        </w:tc>
      </w:tr>
      <w:tr>
        <w:tc>
          <w:tcPr>
            <w:tcW w:type="dxa" w:w="3120"/>
          </w:tcPr>
          <w:p>
            <w:r>
              <w:t>Electric_range</w:t>
            </w:r>
          </w:p>
        </w:tc>
        <w:tc>
          <w:tcPr>
            <w:tcW w:type="dxa" w:w="3120"/>
          </w:tcPr>
          <w:p>
            <w:r>
              <w:t>Vehicle Spec</w:t>
            </w:r>
          </w:p>
        </w:tc>
        <w:tc>
          <w:tcPr>
            <w:tcW w:type="dxa" w:w="3120"/>
          </w:tcPr>
          <w:p>
            <w:r>
              <w:t>Yes</w:t>
            </w:r>
          </w:p>
        </w:tc>
      </w:tr>
      <w:tr>
        <w:tc>
          <w:tcPr>
            <w:tcW w:type="dxa" w:w="3120"/>
          </w:tcPr>
          <w:p>
            <w:r>
              <w:t>Engine_power</w:t>
            </w:r>
          </w:p>
        </w:tc>
        <w:tc>
          <w:tcPr>
            <w:tcW w:type="dxa" w:w="3120"/>
          </w:tcPr>
          <w:p>
            <w:r>
              <w:t>Vehicle Spec</w:t>
            </w:r>
          </w:p>
        </w:tc>
        <w:tc>
          <w:tcPr>
            <w:tcW w:type="dxa" w:w="3120"/>
          </w:tcPr>
          <w:p>
            <w:r>
              <w:t>Yes</w:t>
            </w:r>
          </w:p>
        </w:tc>
      </w:tr>
      <w:tr>
        <w:tc>
          <w:tcPr>
            <w:tcW w:type="dxa" w:w="3120"/>
          </w:tcPr>
          <w:p>
            <w:r>
              <w:t>drive_battery_capacity_kwh</w:t>
            </w:r>
          </w:p>
        </w:tc>
        <w:tc>
          <w:tcPr>
            <w:tcW w:type="dxa" w:w="3120"/>
          </w:tcPr>
          <w:p>
            <w:r>
              <w:t>Vehicle Spec</w:t>
            </w:r>
          </w:p>
        </w:tc>
        <w:tc>
          <w:tcPr>
            <w:tcW w:type="dxa" w:w="3120"/>
          </w:tcPr>
          <w:p>
            <w:r>
              <w:t>Yes</w:t>
            </w:r>
          </w:p>
        </w:tc>
      </w:tr>
      <w:tr>
        <w:tc>
          <w:tcPr>
            <w:tcW w:type="dxa" w:w="3120"/>
          </w:tcPr>
          <w:p>
            <w:r>
              <w:t>segment</w:t>
            </w:r>
          </w:p>
        </w:tc>
        <w:tc>
          <w:tcPr>
            <w:tcW w:type="dxa" w:w="3120"/>
          </w:tcPr>
          <w:p>
            <w:r>
              <w:t>Vehicle Spec</w:t>
            </w:r>
          </w:p>
        </w:tc>
        <w:tc>
          <w:tcPr>
            <w:tcW w:type="dxa" w:w="3120"/>
          </w:tcPr>
          <w:p>
            <w:r>
              <w:t>Yes</w:t>
            </w:r>
          </w:p>
        </w:tc>
      </w:tr>
      <w:tr>
        <w:tc>
          <w:tcPr>
            <w:tcW w:type="dxa" w:w="3120"/>
          </w:tcPr>
          <w:p>
            <w:r>
              <w:t>Fuel_type</w:t>
            </w:r>
          </w:p>
        </w:tc>
        <w:tc>
          <w:tcPr>
            <w:tcW w:type="dxa" w:w="3120"/>
          </w:tcPr>
          <w:p>
            <w:r>
              <w:t>Vehicle Spec</w:t>
            </w:r>
          </w:p>
        </w:tc>
        <w:tc>
          <w:tcPr>
            <w:tcW w:type="dxa" w:w="3120"/>
          </w:tcPr>
          <w:p>
            <w:r>
              <w:t>Yes</w:t>
            </w:r>
          </w:p>
        </w:tc>
      </w:tr>
      <w:tr>
        <w:tc>
          <w:tcPr>
            <w:tcW w:type="dxa" w:w="3120"/>
          </w:tcPr>
          <w:p>
            <w:r>
              <w:t>Country</w:t>
            </w:r>
          </w:p>
        </w:tc>
        <w:tc>
          <w:tcPr>
            <w:tcW w:type="dxa" w:w="3120"/>
          </w:tcPr>
          <w:p>
            <w:r>
              <w:t>Contextual</w:t>
            </w:r>
          </w:p>
        </w:tc>
        <w:tc>
          <w:tcPr>
            <w:tcW w:type="dxa" w:w="3120"/>
          </w:tcPr>
          <w:p>
            <w:r>
              <w:t>Yes</w:t>
            </w:r>
          </w:p>
        </w:tc>
      </w:tr>
      <w:tr>
        <w:tc>
          <w:tcPr>
            <w:tcW w:type="dxa" w:w="3120"/>
          </w:tcPr>
          <w:p>
            <w:r>
              <w:t>Region</w:t>
            </w:r>
          </w:p>
        </w:tc>
        <w:tc>
          <w:tcPr>
            <w:tcW w:type="dxa" w:w="3120"/>
          </w:tcPr>
          <w:p>
            <w:r>
              <w:t>Contextual</w:t>
            </w:r>
          </w:p>
        </w:tc>
        <w:tc>
          <w:tcPr>
            <w:tcW w:type="dxa" w:w="3120"/>
          </w:tcPr>
          <w:p>
            <w:r>
              <w:t>Yes</w:t>
            </w:r>
          </w:p>
        </w:tc>
      </w:tr>
      <w:tr>
        <w:tc>
          <w:tcPr>
            <w:tcW w:type="dxa" w:w="3120"/>
          </w:tcPr>
          <w:p>
            <w:r>
              <w:t>Year</w:t>
            </w:r>
          </w:p>
        </w:tc>
        <w:tc>
          <w:tcPr>
            <w:tcW w:type="dxa" w:w="3120"/>
          </w:tcPr>
          <w:p>
            <w:r>
              <w:t>Contextual</w:t>
            </w:r>
          </w:p>
        </w:tc>
        <w:tc>
          <w:tcPr>
            <w:tcW w:type="dxa" w:w="3120"/>
          </w:tcPr>
          <w:p>
            <w:r>
              <w:t>Yes</w:t>
            </w:r>
          </w:p>
        </w:tc>
      </w:tr>
      <w:tr>
        <w:tc>
          <w:tcPr>
            <w:tcW w:type="dxa" w:w="3120"/>
          </w:tcPr>
          <w:p>
            <w:r>
              <w:t>Mileage_Tot</w:t>
            </w:r>
          </w:p>
        </w:tc>
        <w:tc>
          <w:tcPr>
            <w:tcW w:type="dxa" w:w="3120"/>
          </w:tcPr>
          <w:p>
            <w:r>
              <w:t>Usage</w:t>
            </w:r>
          </w:p>
        </w:tc>
        <w:tc>
          <w:tcPr>
            <w:tcW w:type="dxa" w:w="3120"/>
          </w:tcPr>
          <w:p>
            <w:r>
              <w:t>Partial</w:t>
            </w:r>
          </w:p>
        </w:tc>
      </w:tr>
    </w:tbl>
    <w:tbl>
      <w:tblPr>
        <w:tblW w:type="auto" w:w="0"/>
        <w:tblLook w:firstColumn="1" w:firstRow="1" w:lastColumn="0" w:lastRow="0" w:noHBand="0" w:noVBand="1" w:val="04A0"/>
      </w:tblPr>
      <w:tblGrid>
        <w:gridCol w:w="1337"/>
        <w:gridCol w:w="1337"/>
        <w:gridCol w:w="1337"/>
        <w:gridCol w:w="1337"/>
        <w:gridCol w:w="1337"/>
        <w:gridCol w:w="1337"/>
        <w:gridCol w:w="1337"/>
      </w:tblGrid>
      <w:tr>
        <w:tc>
          <w:tcPr>
            <w:tcW w:type="dxa" w:w="1337"/>
          </w:tcPr>
          <w:p>
            <w:r>
              <w:rPr>
                <w:b/>
              </w:rPr>
              <w:t>n</w:t>
            </w:r>
          </w:p>
        </w:tc>
        <w:tc>
          <w:tcPr>
            <w:tcW w:type="dxa" w:w="1337"/>
          </w:tcPr>
          <w:p>
            <w:r>
              <w:rPr>
                <w:b/>
              </w:rPr>
              <w:t>EDSen_mech_median</w:t>
            </w:r>
          </w:p>
        </w:tc>
        <w:tc>
          <w:tcPr>
            <w:tcW w:type="dxa" w:w="1337"/>
          </w:tcPr>
          <w:p>
            <w:r>
              <w:rPr>
                <w:b/>
              </w:rPr>
              <w:t>EDSen_mech_IQR_low</w:t>
            </w:r>
          </w:p>
        </w:tc>
        <w:tc>
          <w:tcPr>
            <w:tcW w:type="dxa" w:w="1337"/>
          </w:tcPr>
          <w:p>
            <w:r>
              <w:rPr>
                <w:b/>
              </w:rPr>
              <w:t>EDSen_mech_IQR_high</w:t>
            </w:r>
          </w:p>
        </w:tc>
        <w:tc>
          <w:tcPr>
            <w:tcW w:type="dxa" w:w="1337"/>
          </w:tcPr>
          <w:p>
            <w:r>
              <w:rPr>
                <w:b/>
              </w:rPr>
              <w:t>EnTot_median</w:t>
            </w:r>
          </w:p>
        </w:tc>
        <w:tc>
          <w:tcPr>
            <w:tcW w:type="dxa" w:w="1337"/>
          </w:tcPr>
          <w:p>
            <w:r>
              <w:rPr>
                <w:b/>
              </w:rPr>
              <w:t>EnTot_IQR_low</w:t>
            </w:r>
          </w:p>
        </w:tc>
        <w:tc>
          <w:tcPr>
            <w:tcW w:type="dxa" w:w="1337"/>
          </w:tcPr>
          <w:p>
            <w:r>
              <w:rPr>
                <w:b/>
              </w:rPr>
              <w:t>EnTot_IQR_high</w:t>
            </w:r>
          </w:p>
        </w:tc>
      </w:tr>
      <w:tr>
        <w:tc>
          <w:tcPr>
            <w:tcW w:type="dxa" w:w="1337"/>
          </w:tcPr>
          <w:p>
            <w:r>
              <w:t>900525.0</w:t>
            </w:r>
          </w:p>
        </w:tc>
        <w:tc>
          <w:tcPr>
            <w:tcW w:type="dxa" w:w="1337"/>
          </w:tcPr>
          <w:p>
            <w:r>
              <w:t>27.0455332892906</w:t>
            </w:r>
          </w:p>
        </w:tc>
        <w:tc>
          <w:tcPr>
            <w:tcW w:type="dxa" w:w="1337"/>
          </w:tcPr>
          <w:p>
            <w:r>
              <w:t>10.9837208761237</w:t>
            </w:r>
          </w:p>
        </w:tc>
        <w:tc>
          <w:tcPr>
            <w:tcW w:type="dxa" w:w="1337"/>
          </w:tcPr>
          <w:p>
            <w:r>
              <w:t>44.5242821914771</w:t>
            </w:r>
          </w:p>
        </w:tc>
        <w:tc>
          <w:tcPr>
            <w:tcW w:type="dxa" w:w="1337"/>
          </w:tcPr>
          <w:p>
            <w:r>
              <w:t>58.1266402745684</w:t>
            </w:r>
          </w:p>
        </w:tc>
        <w:tc>
          <w:tcPr>
            <w:tcW w:type="dxa" w:w="1337"/>
          </w:tcPr>
          <w:p>
            <w:r>
              <w:t>47.8896665248981</w:t>
            </w:r>
          </w:p>
        </w:tc>
        <w:tc>
          <w:tcPr>
            <w:tcW w:type="dxa" w:w="1337"/>
          </w:tcPr>
          <w:p>
            <w:r>
              <w:t>69.6216799522253</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Dataset</w:t>
            </w:r>
          </w:p>
        </w:tc>
        <w:tc>
          <w:tcPr>
            <w:tcW w:type="dxa" w:w="2340"/>
          </w:tcPr>
          <w:p>
            <w:r>
              <w:rPr>
                <w:b/>
              </w:rPr>
              <w:t>Records</w:t>
            </w:r>
          </w:p>
        </w:tc>
        <w:tc>
          <w:tcPr>
            <w:tcW w:type="dxa" w:w="2340"/>
          </w:tcPr>
          <w:p>
            <w:r>
              <w:rPr>
                <w:b/>
              </w:rPr>
              <w:t>Countries</w:t>
            </w:r>
          </w:p>
        </w:tc>
        <w:tc>
          <w:tcPr>
            <w:tcW w:type="dxa" w:w="2340"/>
          </w:tcPr>
          <w:p>
            <w:r>
              <w:rPr>
                <w:b/>
              </w:rPr>
              <w:t>Years</w:t>
            </w:r>
          </w:p>
        </w:tc>
      </w:tr>
      <w:tr>
        <w:tc>
          <w:tcPr>
            <w:tcW w:type="dxa" w:w="2340"/>
          </w:tcPr>
          <w:p>
            <w:r>
              <w:t>OBFCM 2021-2023</w:t>
            </w:r>
          </w:p>
        </w:tc>
        <w:tc>
          <w:tcPr>
            <w:tcW w:type="dxa" w:w="2340"/>
          </w:tcPr>
          <w:p>
            <w:r>
              <w:t>900525</w:t>
            </w:r>
          </w:p>
        </w:tc>
        <w:tc>
          <w:tcPr>
            <w:tcW w:type="dxa" w:w="2340"/>
          </w:tcPr>
          <w:p>
            <w:r>
              <w:t>29</w:t>
            </w:r>
          </w:p>
        </w:tc>
        <w:tc>
          <w:tcPr>
            <w:tcW w:type="dxa" w:w="2340"/>
          </w:tcPr>
          <w:p>
            <w:r>
              <w:t>2021, 2022, 2023</w:t>
            </w:r>
          </w:p>
        </w:tc>
      </w:tr>
    </w:tbl>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
  </w:num>
  <w:num w:numId="1012">
    <w:abstractNumId w:val="992"/>
  </w:num>
  <w:num w:numId="1013">
    <w:abstractNumId w:val="992"/>
  </w:num>
  <w:num w:numId="1014">
    <w:abstractNumId w:val="992"/>
  </w:num>
  <w:num w:numId="1015">
    <w:abstractNumId w:val="992"/>
  </w:num>
  <w:num w:numId="1016">
    <w:abstractNumId w:val="992"/>
  </w:num>
  <w:num w:numId="1017">
    <w:abstractNumId w:val="992"/>
  </w:num>
  <w:num w:numId="1018">
    <w:abstractNumId w:val="992"/>
  </w:num>
  <w:num w:numId="1019">
    <w:abstractNumId w:val="992"/>
  </w:num>
  <w:num w:numId="1020">
    <w:abstractNumId w:val="992"/>
  </w:num>
  <w:num w:numId="1021">
    <w:abstractNumId w:val="992"/>
  </w:num>
  <w:num w:numId="1022">
    <w:abstractNumId w:val="992"/>
  </w:num>
  <w:num w:numId="1023">
    <w:abstractNumId w:val="992"/>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2"/>
  </w:num>
  <w:num w:numId="1026">
    <w:abstractNumId w:val="992"/>
  </w:num>
  <w:num w:numId="1027">
    <w:abstractNumId w:val="992"/>
  </w:num>
  <w:num w:numId="1028">
    <w:abstractNumId w:val="992"/>
  </w:num>
  <w:num w:numId="1029">
    <w:abstractNumId w:val="992"/>
  </w:num>
  <w:num w:numId="1030">
    <w:abstractNumId w:val="992"/>
  </w:num>
  <w:num w:numId="1031">
    <w:abstractNumId w:val="992"/>
  </w:num>
  <w:num w:numId="1032">
    <w:abstractNumId w:val="992"/>
  </w:num>
  <w:num w:numId="1033">
    <w:abstractNumId w:val="992"/>
  </w:num>
  <w:num w:numId="1034">
    <w:abstractNumId w:val="992"/>
  </w:num>
  <w:num w:numId="1035">
    <w:abstractNumId w:val="992"/>
  </w:num>
  <w:num w:numId="1036">
    <w:abstractNumId w:val="992"/>
  </w:num>
  <w:num w:numId="1037">
    <w:abstractNumId w:val="992"/>
  </w:num>
  <w:num w:numId="103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39">
    <w:abstractNumId w:val="992"/>
  </w:num>
  <w:num w:numId="1040">
    <w:abstractNumId w:val="992"/>
  </w:num>
  <w:num w:numId="1041">
    <w:abstractNumId w:val="992"/>
  </w:num>
  <w:num w:numId="1042">
    <w:abstractNumId w:val="992"/>
  </w:num>
  <w:num w:numId="1043">
    <w:abstractNumId w:val="992"/>
  </w:num>
  <w:num w:numId="1044">
    <w:abstractNumId w:val="992"/>
  </w:num>
  <w:num w:numId="1045">
    <w:abstractNumId w:val="992"/>
  </w:num>
  <w:num w:numId="1046">
    <w:abstractNumId w:val="992"/>
  </w:num>
  <w:num w:numId="1047">
    <w:abstractNumId w:val="992"/>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8" Type="http://schemas.openxmlformats.org/officeDocument/2006/relationships/numbering" Target="numbering.xml"/><Relationship Id="rId7" Type="http://schemas.openxmlformats.org/officeDocument/2006/relationships/styles" Target="styles.xml"/><Relationship Id="rId6" Type="http://schemas.openxmlformats.org/officeDocument/2006/relationships/settings" Target="settings.xml"/><Relationship Id="rId5" Type="http://schemas.openxmlformats.org/officeDocument/2006/relationships/webSettings" Target="webSettings.xml"/><Relationship Id="rId4" Type="http://schemas.openxmlformats.org/officeDocument/2006/relationships/fontTable" Target="fontTable.xml"/><Relationship Id="rId3" Type="http://schemas.openxmlformats.org/officeDocument/2006/relationships/theme" Target="theme/theme1.xml"/><Relationship Id="rId2" Type="http://schemas.openxmlformats.org/officeDocument/2006/relationships/footnotes" Target="footnotes.xml"/><Relationship Id="rId1" Type="http://schemas.openxmlformats.org/officeDocument/2006/relationships/comments" Target="comments.xml"/><Relationship Id="rId142" Type="http://schemas.openxmlformats.org/officeDocument/2006/relationships/image" Target="media/rId142.png"/><Relationship Id="rId27" Type="http://schemas.openxmlformats.org/officeDocument/2006/relationships/image" Target="media/rId27.png"/><Relationship Id="rId46" Type="http://schemas.openxmlformats.org/officeDocument/2006/relationships/image" Target="media/rId46.png"/><Relationship Id="rId31" Type="http://schemas.openxmlformats.org/officeDocument/2006/relationships/image" Target="media/rId31.png"/><Relationship Id="rId35" Type="http://schemas.openxmlformats.org/officeDocument/2006/relationships/image" Target="media/rId35.png"/><Relationship Id="rId39" Type="http://schemas.openxmlformats.org/officeDocument/2006/relationships/image" Target="media/rId39.png"/><Relationship Id="rId43" Type="http://schemas.openxmlformats.org/officeDocument/2006/relationships/image" Target="media/rId43.png"/><Relationship Id="rId53" Type="http://schemas.openxmlformats.org/officeDocument/2006/relationships/image" Target="media/rId53.png"/><Relationship Id="rId57" Type="http://schemas.openxmlformats.org/officeDocument/2006/relationships/image" Target="media/rId57.png"/><Relationship Id="rId61" Type="http://schemas.openxmlformats.org/officeDocument/2006/relationships/image" Target="media/rId61.png"/><Relationship Id="rId103" Type="http://schemas.openxmlformats.org/officeDocument/2006/relationships/image" Target="media/rId103.png"/><Relationship Id="rId106" Type="http://schemas.openxmlformats.org/officeDocument/2006/relationships/image" Target="media/rId106.png"/><Relationship Id="rId109" Type="http://schemas.openxmlformats.org/officeDocument/2006/relationships/image" Target="media/rId109.png"/><Relationship Id="rId112" Type="http://schemas.openxmlformats.org/officeDocument/2006/relationships/image" Target="media/rId112.png"/><Relationship Id="rId115" Type="http://schemas.openxmlformats.org/officeDocument/2006/relationships/image" Target="media/rId115.png"/><Relationship Id="rId118" Type="http://schemas.openxmlformats.org/officeDocument/2006/relationships/image" Target="media/rId118.png"/><Relationship Id="rId121" Type="http://schemas.openxmlformats.org/officeDocument/2006/relationships/image" Target="media/rId121.png"/><Relationship Id="rId124" Type="http://schemas.openxmlformats.org/officeDocument/2006/relationships/image" Target="media/rId124.png"/><Relationship Id="rId127" Type="http://schemas.openxmlformats.org/officeDocument/2006/relationships/image" Target="media/rId127.png"/><Relationship Id="rId92" Type="http://schemas.openxmlformats.org/officeDocument/2006/relationships/image" Target="media/rId92.png"/><Relationship Id="rId64" Type="http://schemas.openxmlformats.org/officeDocument/2006/relationships/image" Target="media/rId64.png"/><Relationship Id="rId95" Type="http://schemas.openxmlformats.org/officeDocument/2006/relationships/image" Target="media/rId95.png"/><Relationship Id="rId98" Type="http://schemas.openxmlformats.org/officeDocument/2006/relationships/image" Target="media/rId98.png"/><Relationship Id="rId147" Type="http://schemas.openxmlformats.org/officeDocument/2006/relationships/image" Target="media/rId147.png"/><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2026-01-22T13:34:25Z</dcterms:created>
  <dcterms:modified xsi:type="dcterms:W3CDTF">2026-01-22T13:34:25Z</dcterms:modified>
</cp:coreProperties>
</file>

<file path=docProps/custom.xml><?xml version="1.0" encoding="utf-8"?>
<Properties xmlns="http://schemas.openxmlformats.org/officeDocument/2006/custom-properties" xmlns:vt="http://schemas.openxmlformats.org/officeDocument/2006/docPropsVTypes"/>
</file>